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jc w:val="center"/>
      </w:pPr>
      <w:r>
        <w:rPr>
          <w:rFonts w:ascii="Arial" w:hAnsi="Arial" w:eastAsia="Arial"/>
          <w:b/>
          <w:i w:val="0"/>
          <w:color w:val="1F4E79"/>
          <w:sz w:val="24"/>
        </w:rPr>
        <w:t>MODELO GRATUITO</w:t>
      </w:r>
    </w:p>
    <w:p>
      <w:pPr>
        <w:spacing w:before="760"/>
        <w:jc w:val="center"/>
      </w:pPr>
      <w:r>
        <w:rPr>
          <w:rFonts w:ascii="Arial" w:hAnsi="Arial" w:eastAsia="Arial"/>
          <w:b/>
          <w:i w:val="0"/>
          <w:color w:val="1F4E79"/>
          <w:sz w:val="56"/>
        </w:rPr>
        <w:t>IPTU VERDE</w:t>
      </w:r>
    </w:p>
    <w:p>
      <w:pPr>
        <w:spacing w:before="240"/>
        <w:jc w:val="center"/>
      </w:pPr>
      <w:r>
        <w:rPr>
          <w:rFonts w:ascii="Arial" w:hAnsi="Arial" w:eastAsia="Arial"/>
          <w:b/>
          <w:i w:val="0"/>
          <w:sz w:val="32"/>
        </w:rPr>
        <w:t>Projeto de Lei Municipal - Modelo Editável</w:t>
      </w:r>
    </w:p>
    <w:p>
      <w:pPr>
        <w:spacing w:before="440"/>
        <w:jc w:val="center"/>
      </w:pPr>
      <w:r>
        <w:rPr>
          <w:rFonts w:ascii="Arial" w:hAnsi="Arial" w:eastAsia="Arial"/>
          <w:b w:val="0"/>
          <w:i w:val="0"/>
          <w:sz w:val="26"/>
        </w:rPr>
        <w:t>Institui incentivo fiscal no Imposto Predial e Territorial Urbano (IPTU) para imóveis que adotem medidas de sustentabilidade ambiental.</w:t>
      </w:r>
    </w:p>
    <w:tbl>
      <w:tblPr>
        <w:tblW w:type="auto" w:w="0"/>
        <w:jc w:val="center"/>
        <w:tblLayout w:type="fixed"/>
        <w:tblLook w:firstColumn="1" w:firstRow="1" w:lastColumn="0" w:lastRow="0" w:noHBand="0" w:noVBand="1" w:val="04A0"/>
      </w:tblPr>
      <w:tblGrid>
        <w:gridCol w:w="8504"/>
      </w:tblGrid>
      <w:tr>
        <w:tc>
          <w:tcPr>
            <w:tcW w:type="dxa" w:w="9072"/>
            <w:shd w:fill="EAF2F8"/>
            <w:tcMar>
              <w:top w:w="180" w:type="dxa"/>
              <w:start w:w="220" w:type="dxa"/>
              <w:bottom w:w="180" w:type="dxa"/>
              <w:end w:w="220" w:type="dxa"/>
            </w:tcMar>
            <w:vAlign w:val="center"/>
          </w:tcPr>
          <w:p>
            <w:pPr>
              <w:spacing w:after="0"/>
              <w:jc w:val="both"/>
            </w:pPr>
            <w:r>
              <w:rPr>
                <w:rFonts w:ascii="Arial" w:hAnsi="Arial" w:eastAsia="Arial"/>
                <w:b/>
                <w:i w:val="0"/>
                <w:color w:val="1F4E79"/>
                <w:sz w:val="20"/>
              </w:rPr>
              <w:t xml:space="preserve">IMPORTANTE: </w:t>
            </w:r>
            <w:r>
              <w:rPr>
                <w:rFonts w:ascii="Arial" w:hAnsi="Arial" w:eastAsia="Arial"/>
                <w:b w:val="0"/>
                <w:i w:val="0"/>
                <w:sz w:val="20"/>
              </w:rPr>
              <w:t>este documento é um modelo geral. Antes do protocolo, deve ser adaptado ao Código Tributário Municipal, à Lei Orgânica, à Lei de Diretrizes Orçamentárias e às normas urbanísticas e ambientais locais. A proposta deve ser acompanhada da estimativa de impacto orçamentário-financeiro e de revisão jurídica e contábil.</w:t>
            </w:r>
          </w:p>
        </w:tc>
      </w:tr>
    </w:tbl>
    <w:p>
      <w:pPr>
        <w:spacing w:before="600"/>
        <w:jc w:val="center"/>
      </w:pPr>
      <w:r>
        <w:rPr>
          <w:rFonts w:ascii="Arial" w:hAnsi="Arial" w:eastAsia="Arial"/>
          <w:b/>
          <w:i w:val="0"/>
          <w:sz w:val="24"/>
        </w:rPr>
        <w:t>[NOME DA CIDADE] - [ESTADO]</w:t>
        <w:br/>
        <w:t>[ANO]</w:t>
      </w:r>
    </w:p>
    <w:p>
      <w:r>
        <w:br w:type="page"/>
      </w:r>
    </w:p>
    <w:p>
      <w:pPr>
        <w:spacing w:before="0" w:after="40"/>
        <w:jc w:val="center"/>
      </w:pPr>
      <w:r>
        <w:rPr>
          <w:rFonts w:ascii="Arial" w:hAnsi="Arial" w:eastAsia="Arial"/>
          <w:b/>
          <w:i w:val="0"/>
          <w:color w:val="000000"/>
          <w:sz w:val="24"/>
        </w:rPr>
        <w:t>ESTADO DE [ESTADO]</w:t>
      </w:r>
    </w:p>
    <w:p>
      <w:pPr>
        <w:spacing w:before="0" w:after="240"/>
        <w:jc w:val="center"/>
      </w:pPr>
      <w:r>
        <w:rPr>
          <w:rFonts w:ascii="Arial" w:hAnsi="Arial" w:eastAsia="Arial"/>
          <w:b/>
          <w:i w:val="0"/>
          <w:color w:val="000000"/>
          <w:sz w:val="24"/>
        </w:rPr>
        <w:t>CÂMARA MUNICIPAL DE [NOME DA CIDADE]</w:t>
      </w:r>
    </w:p>
    <w:p>
      <w:pPr>
        <w:spacing w:before="80" w:after="120"/>
        <w:jc w:val="center"/>
      </w:pPr>
      <w:r>
        <w:rPr>
          <w:rFonts w:ascii="Arial" w:hAnsi="Arial" w:eastAsia="Arial"/>
          <w:b/>
          <w:i w:val="0"/>
          <w:color w:val="000000"/>
          <w:sz w:val="26"/>
        </w:rPr>
        <w:t>PROJETO DE LEI Nº [NÚMERO]/[ANO]</w:t>
      </w:r>
    </w:p>
    <w:p>
      <w:pPr>
        <w:spacing w:after="160"/>
        <w:jc w:val="left"/>
      </w:pPr>
      <w:r>
        <w:rPr>
          <w:rFonts w:ascii="Arial" w:hAnsi="Arial" w:eastAsia="Arial"/>
          <w:b w:val="0"/>
          <w:i w:val="0"/>
          <w:sz w:val="24"/>
        </w:rPr>
        <w:t>Autor(a): Vereador(a) [NOME DO(A) VEREADOR(A)]</w:t>
      </w:r>
    </w:p>
    <w:tbl>
      <w:tblPr>
        <w:tblW w:type="auto" w:w="0"/>
        <w:jc w:val="right"/>
        <w:tblLayout w:type="fixed"/>
        <w:tblLook w:firstColumn="1" w:firstRow="1" w:lastColumn="0" w:lastRow="0" w:noHBand="0" w:noVBand="1" w:val="04A0"/>
      </w:tblPr>
      <w:tblGrid>
        <w:gridCol w:w="5953"/>
      </w:tblGrid>
      <w:tr>
        <w:tc>
          <w:tcPr>
            <w:tcW w:type="dxa" w:w="9072"/>
            <w:shd w:fill="F2F2F2"/>
            <w:tcMar>
              <w:top w:w="150" w:type="dxa"/>
              <w:start w:w="180" w:type="dxa"/>
              <w:bottom w:w="150" w:type="dxa"/>
              <w:end w:w="180" w:type="dxa"/>
            </w:tcMar>
          </w:tcPr>
          <w:p>
            <w:pPr>
              <w:jc w:val="both"/>
            </w:pPr>
            <w:r>
              <w:rPr>
                <w:rFonts w:ascii="Arial" w:hAnsi="Arial" w:eastAsia="Arial"/>
                <w:b/>
                <w:i w:val="0"/>
                <w:sz w:val="22"/>
              </w:rPr>
              <w:t xml:space="preserve">EMENTA: </w:t>
            </w:r>
            <w:r>
              <w:rPr>
                <w:rFonts w:ascii="Arial" w:hAnsi="Arial" w:eastAsia="Arial"/>
                <w:b w:val="0"/>
                <w:i w:val="0"/>
                <w:sz w:val="22"/>
              </w:rPr>
              <w:t>Institui o Programa IPTU Verde no Município de [NOME DA CIDADE], destinado à concessão de desconto no Imposto Predial e Territorial Urbano aos imóveis edificados que adotem medidas de sustentabilidade ambiental, e dá outras providências.</w:t>
            </w:r>
          </w:p>
        </w:tc>
      </w:tr>
    </w:tbl>
    <w:p>
      <w:pPr>
        <w:keepNext/>
        <w:spacing w:after="120" w:line="276" w:lineRule="auto"/>
        <w:ind w:firstLine="709"/>
        <w:jc w:val="both"/>
      </w:pPr>
      <w:r>
        <w:rPr>
          <w:rFonts w:ascii="Arial" w:hAnsi="Arial" w:eastAsia="Arial"/>
          <w:b/>
          <w:i w:val="0"/>
          <w:sz w:val="24"/>
        </w:rPr>
        <w:t xml:space="preserve">Art. 1º </w:t>
      </w:r>
      <w:r>
        <w:rPr>
          <w:rFonts w:ascii="Arial" w:hAnsi="Arial" w:eastAsia="Arial"/>
          <w:b w:val="0"/>
          <w:i w:val="0"/>
          <w:sz w:val="24"/>
        </w:rPr>
        <w:t>Fica instituído, no âmbito do Município de [NOME DA CIDADE], o Programa IPTU Verde, destinado a incentivar a adoção de soluções sustentáveis em imóveis urbanos edificados por meio da concessão de desconto no valor anual do Imposto Predial e Territorial Urbano - IPTU, observados os critérios e limites desta Lei.</w:t>
      </w:r>
    </w:p>
    <w:p>
      <w:pPr>
        <w:spacing w:after="80" w:line="264" w:lineRule="auto"/>
        <w:ind w:left="709" w:hanging="369"/>
        <w:jc w:val="both"/>
      </w:pPr>
      <w:r>
        <w:rPr>
          <w:rFonts w:ascii="Arial" w:hAnsi="Arial" w:eastAsia="Arial"/>
          <w:b w:val="0"/>
          <w:i w:val="0"/>
          <w:sz w:val="24"/>
        </w:rPr>
        <w:t>§ 1º O benefício previsto nesta Lei incidirá exclusivamente sobre o IPTU do imóvel certificado, não alcançando taxas, contribuições, multas, juros ou outros encargos lançados conjuntamente.</w:t>
      </w:r>
    </w:p>
    <w:p>
      <w:pPr>
        <w:spacing w:after="80" w:line="264" w:lineRule="auto"/>
        <w:ind w:left="709" w:hanging="369"/>
        <w:jc w:val="both"/>
      </w:pPr>
      <w:r>
        <w:rPr>
          <w:rFonts w:ascii="Arial" w:hAnsi="Arial" w:eastAsia="Arial"/>
          <w:b w:val="0"/>
          <w:i w:val="0"/>
          <w:sz w:val="24"/>
        </w:rPr>
        <w:t>§ 2º O desconto será concedido somente após a comprovação das medidas ambientais adotadas e produzirá efeitos a partir do exercício seguinte ao deferimento do pedido.</w:t>
      </w:r>
    </w:p>
    <w:p>
      <w:pPr>
        <w:spacing w:after="80" w:line="264" w:lineRule="auto"/>
        <w:ind w:left="709" w:hanging="369"/>
        <w:jc w:val="both"/>
      </w:pPr>
      <w:r>
        <w:rPr>
          <w:rFonts w:ascii="Arial" w:hAnsi="Arial" w:eastAsia="Arial"/>
          <w:b w:val="0"/>
          <w:i w:val="0"/>
          <w:sz w:val="24"/>
        </w:rPr>
        <w:t>§ 3º As medidas exigidas pela legislação urbanística, edilícia ou ambiental como condição obrigatória para aprovação, regularização ou funcionamento do imóvel não gerarão pontuação, salvo quando superados os padrões mínimos obrigatórios, na forma do regulamento.</w:t>
      </w:r>
    </w:p>
    <w:p>
      <w:pPr>
        <w:keepNext/>
        <w:spacing w:after="120" w:line="276" w:lineRule="auto"/>
        <w:ind w:firstLine="709"/>
        <w:jc w:val="both"/>
      </w:pPr>
      <w:r>
        <w:rPr>
          <w:rFonts w:ascii="Arial" w:hAnsi="Arial" w:eastAsia="Arial"/>
          <w:b/>
          <w:i w:val="0"/>
          <w:sz w:val="24"/>
        </w:rPr>
        <w:t xml:space="preserve">Art. 2º </w:t>
      </w:r>
      <w:r>
        <w:rPr>
          <w:rFonts w:ascii="Arial" w:hAnsi="Arial" w:eastAsia="Arial"/>
          <w:b w:val="0"/>
          <w:i w:val="0"/>
          <w:sz w:val="24"/>
        </w:rPr>
        <w:t>São objetivos do Programa IPTU Verde:</w:t>
      </w:r>
    </w:p>
    <w:p>
      <w:pPr>
        <w:spacing w:after="80" w:line="264" w:lineRule="auto"/>
        <w:ind w:left="709" w:hanging="369"/>
        <w:jc w:val="both"/>
      </w:pPr>
      <w:r>
        <w:rPr>
          <w:rFonts w:ascii="Arial" w:hAnsi="Arial" w:eastAsia="Arial"/>
          <w:b w:val="0"/>
          <w:i w:val="0"/>
          <w:sz w:val="24"/>
        </w:rPr>
        <w:t>I - estimular o uso racional da água e da energia;</w:t>
      </w:r>
    </w:p>
    <w:p>
      <w:pPr>
        <w:spacing w:after="80" w:line="264" w:lineRule="auto"/>
        <w:ind w:left="709" w:hanging="369"/>
        <w:jc w:val="both"/>
      </w:pPr>
      <w:r>
        <w:rPr>
          <w:rFonts w:ascii="Arial" w:hAnsi="Arial" w:eastAsia="Arial"/>
          <w:b w:val="0"/>
          <w:i w:val="0"/>
          <w:sz w:val="24"/>
        </w:rPr>
        <w:t>II - incentivar a geração de energia por fontes renováveis;</w:t>
      </w:r>
    </w:p>
    <w:p>
      <w:pPr>
        <w:spacing w:after="80" w:line="264" w:lineRule="auto"/>
        <w:ind w:left="709" w:hanging="369"/>
        <w:jc w:val="both"/>
      </w:pPr>
      <w:r>
        <w:rPr>
          <w:rFonts w:ascii="Arial" w:hAnsi="Arial" w:eastAsia="Arial"/>
          <w:b w:val="0"/>
          <w:i w:val="0"/>
          <w:sz w:val="24"/>
        </w:rPr>
        <w:t>III - ampliar a permeabilidade do solo e reduzir o escoamento superficial de águas pluviais;</w:t>
      </w:r>
    </w:p>
    <w:p>
      <w:pPr>
        <w:spacing w:after="80" w:line="264" w:lineRule="auto"/>
        <w:ind w:left="709" w:hanging="369"/>
        <w:jc w:val="both"/>
      </w:pPr>
      <w:r>
        <w:rPr>
          <w:rFonts w:ascii="Arial" w:hAnsi="Arial" w:eastAsia="Arial"/>
          <w:b w:val="0"/>
          <w:i w:val="0"/>
          <w:sz w:val="24"/>
        </w:rPr>
        <w:t>IV - contribuir para a arborização urbana, o conforto térmico e a redução das ilhas de calor;</w:t>
      </w:r>
    </w:p>
    <w:p>
      <w:pPr>
        <w:spacing w:after="80" w:line="264" w:lineRule="auto"/>
        <w:ind w:left="709" w:hanging="369"/>
        <w:jc w:val="both"/>
      </w:pPr>
      <w:r>
        <w:rPr>
          <w:rFonts w:ascii="Arial" w:hAnsi="Arial" w:eastAsia="Arial"/>
          <w:b w:val="0"/>
          <w:i w:val="0"/>
          <w:sz w:val="24"/>
        </w:rPr>
        <w:t>V - fomentar edificações ambientalmente responsáveis e resilientes às mudanças climáticas;</w:t>
      </w:r>
    </w:p>
    <w:p>
      <w:pPr>
        <w:spacing w:after="80" w:line="264" w:lineRule="auto"/>
        <w:ind w:left="709" w:hanging="369"/>
        <w:jc w:val="both"/>
      </w:pPr>
      <w:r>
        <w:rPr>
          <w:rFonts w:ascii="Arial" w:hAnsi="Arial" w:eastAsia="Arial"/>
          <w:b w:val="0"/>
          <w:i w:val="0"/>
          <w:sz w:val="24"/>
        </w:rPr>
        <w:t>VI - promover a participação dos proprietários e possuidores na proteção do meio ambiente urbano.</w:t>
      </w:r>
    </w:p>
    <w:p>
      <w:pPr>
        <w:keepNext/>
        <w:spacing w:after="120" w:line="276" w:lineRule="auto"/>
        <w:ind w:firstLine="709"/>
        <w:jc w:val="both"/>
      </w:pPr>
      <w:r>
        <w:rPr>
          <w:rFonts w:ascii="Arial" w:hAnsi="Arial" w:eastAsia="Arial"/>
          <w:b/>
          <w:i w:val="0"/>
          <w:sz w:val="24"/>
        </w:rPr>
        <w:t xml:space="preserve">Art. 3º </w:t>
      </w:r>
      <w:r>
        <w:rPr>
          <w:rFonts w:ascii="Arial" w:hAnsi="Arial" w:eastAsia="Arial"/>
          <w:b w:val="0"/>
          <w:i w:val="0"/>
          <w:sz w:val="24"/>
        </w:rPr>
        <w:t>Para fins de enquadramento no Programa IPTU Verde, serão consideradas as seguintes medidas de sustentabilidade ambiental:</w:t>
      </w:r>
    </w:p>
    <w:p>
      <w:pPr>
        <w:spacing w:after="80" w:line="264" w:lineRule="auto"/>
        <w:ind w:left="709" w:hanging="369"/>
        <w:jc w:val="both"/>
      </w:pPr>
      <w:r>
        <w:rPr>
          <w:rFonts w:ascii="Arial" w:hAnsi="Arial" w:eastAsia="Arial"/>
          <w:b w:val="0"/>
          <w:i w:val="0"/>
          <w:sz w:val="24"/>
        </w:rPr>
        <w:t>I - sistema de microgeração ou minigeração de energia elétrica por fonte renovável, regularmente instalado;</w:t>
      </w:r>
      <w:r>
        <w:rPr>
          <w:rFonts w:ascii="Arial" w:hAnsi="Arial" w:eastAsia="Arial"/>
          <w:b/>
          <w:i w:val="0"/>
          <w:color w:val="1F4E79"/>
          <w:sz w:val="24"/>
        </w:rPr>
        <w:t xml:space="preserve"> (3 pontos)</w:t>
      </w:r>
    </w:p>
    <w:p>
      <w:pPr>
        <w:spacing w:after="80" w:line="264" w:lineRule="auto"/>
        <w:ind w:left="709" w:hanging="369"/>
        <w:jc w:val="both"/>
      </w:pPr>
      <w:r>
        <w:rPr>
          <w:rFonts w:ascii="Arial" w:hAnsi="Arial" w:eastAsia="Arial"/>
          <w:b w:val="0"/>
          <w:i w:val="0"/>
          <w:sz w:val="24"/>
        </w:rPr>
        <w:t>II - sistema de aquecimento solar de água;</w:t>
      </w:r>
      <w:r>
        <w:rPr>
          <w:rFonts w:ascii="Arial" w:hAnsi="Arial" w:eastAsia="Arial"/>
          <w:b/>
          <w:i w:val="0"/>
          <w:color w:val="1F4E79"/>
          <w:sz w:val="24"/>
        </w:rPr>
        <w:t xml:space="preserve"> (2 pontos)</w:t>
      </w:r>
    </w:p>
    <w:p>
      <w:pPr>
        <w:spacing w:after="80" w:line="264" w:lineRule="auto"/>
        <w:ind w:left="709" w:hanging="369"/>
        <w:jc w:val="both"/>
      </w:pPr>
      <w:r>
        <w:rPr>
          <w:rFonts w:ascii="Arial" w:hAnsi="Arial" w:eastAsia="Arial"/>
          <w:b w:val="0"/>
          <w:i w:val="0"/>
          <w:sz w:val="24"/>
        </w:rPr>
        <w:t>III - sistema de captação e armazenamento de água da chuva para usos não potáveis;</w:t>
      </w:r>
      <w:r>
        <w:rPr>
          <w:rFonts w:ascii="Arial" w:hAnsi="Arial" w:eastAsia="Arial"/>
          <w:b/>
          <w:i w:val="0"/>
          <w:color w:val="1F4E79"/>
          <w:sz w:val="24"/>
        </w:rPr>
        <w:t xml:space="preserve"> (2 pontos)</w:t>
      </w:r>
    </w:p>
    <w:p>
      <w:pPr>
        <w:spacing w:after="80" w:line="264" w:lineRule="auto"/>
        <w:ind w:left="709" w:hanging="369"/>
        <w:jc w:val="both"/>
      </w:pPr>
      <w:r>
        <w:rPr>
          <w:rFonts w:ascii="Arial" w:hAnsi="Arial" w:eastAsia="Arial"/>
          <w:b w:val="0"/>
          <w:i w:val="0"/>
          <w:sz w:val="24"/>
        </w:rPr>
        <w:t>IV - sistema de tratamento e reúso de águas cinzas ou outras águas servidas, observadas as normas sanitárias;</w:t>
      </w:r>
      <w:r>
        <w:rPr>
          <w:rFonts w:ascii="Arial" w:hAnsi="Arial" w:eastAsia="Arial"/>
          <w:b/>
          <w:i w:val="0"/>
          <w:color w:val="1F4E79"/>
          <w:sz w:val="24"/>
        </w:rPr>
        <w:t xml:space="preserve"> (3 pontos)</w:t>
      </w:r>
    </w:p>
    <w:p>
      <w:pPr>
        <w:spacing w:after="80" w:line="264" w:lineRule="auto"/>
        <w:ind w:left="709" w:hanging="369"/>
        <w:jc w:val="both"/>
      </w:pPr>
      <w:r>
        <w:rPr>
          <w:rFonts w:ascii="Arial" w:hAnsi="Arial" w:eastAsia="Arial"/>
          <w:b w:val="0"/>
          <w:i w:val="0"/>
          <w:sz w:val="24"/>
        </w:rPr>
        <w:t>V - cobertura vegetal, telhado verde ou jardim vertical executado com solução técnica adequada;</w:t>
      </w:r>
      <w:r>
        <w:rPr>
          <w:rFonts w:ascii="Arial" w:hAnsi="Arial" w:eastAsia="Arial"/>
          <w:b/>
          <w:i w:val="0"/>
          <w:color w:val="1F4E79"/>
          <w:sz w:val="24"/>
        </w:rPr>
        <w:t xml:space="preserve"> (2 pontos)</w:t>
      </w:r>
    </w:p>
    <w:p>
      <w:pPr>
        <w:spacing w:after="80" w:line="264" w:lineRule="auto"/>
        <w:ind w:left="709" w:hanging="369"/>
        <w:jc w:val="both"/>
      </w:pPr>
      <w:r>
        <w:rPr>
          <w:rFonts w:ascii="Arial" w:hAnsi="Arial" w:eastAsia="Arial"/>
          <w:b w:val="0"/>
          <w:i w:val="0"/>
          <w:sz w:val="24"/>
        </w:rPr>
        <w:t>VI - área permeável superior em, no mínimo, 20% (vinte por cento) ao índice mínimo exigido pela legislação municipal;</w:t>
      </w:r>
      <w:r>
        <w:rPr>
          <w:rFonts w:ascii="Arial" w:hAnsi="Arial" w:eastAsia="Arial"/>
          <w:b/>
          <w:i w:val="0"/>
          <w:color w:val="1F4E79"/>
          <w:sz w:val="24"/>
        </w:rPr>
        <w:t xml:space="preserve"> (2 pontos)</w:t>
      </w:r>
    </w:p>
    <w:p>
      <w:pPr>
        <w:spacing w:after="80" w:line="264" w:lineRule="auto"/>
        <w:ind w:left="709" w:hanging="369"/>
        <w:jc w:val="both"/>
      </w:pPr>
      <w:r>
        <w:rPr>
          <w:rFonts w:ascii="Arial" w:hAnsi="Arial" w:eastAsia="Arial"/>
          <w:b w:val="0"/>
          <w:i w:val="0"/>
          <w:sz w:val="24"/>
        </w:rPr>
        <w:t>VII - arborização do lote com espécies preferencialmente nativas, em quantidade e condições definidas pelo órgão municipal competente;</w:t>
      </w:r>
      <w:r>
        <w:rPr>
          <w:rFonts w:ascii="Arial" w:hAnsi="Arial" w:eastAsia="Arial"/>
          <w:b/>
          <w:i w:val="0"/>
          <w:color w:val="1F4E79"/>
          <w:sz w:val="24"/>
        </w:rPr>
        <w:t xml:space="preserve"> (1 ponto)</w:t>
      </w:r>
    </w:p>
    <w:p>
      <w:pPr>
        <w:spacing w:after="80" w:line="264" w:lineRule="auto"/>
        <w:ind w:left="709" w:hanging="369"/>
        <w:jc w:val="both"/>
      </w:pPr>
      <w:r>
        <w:rPr>
          <w:rFonts w:ascii="Arial" w:hAnsi="Arial" w:eastAsia="Arial"/>
          <w:b w:val="0"/>
          <w:i w:val="0"/>
          <w:sz w:val="24"/>
        </w:rPr>
        <w:t>VIII - solução construtiva de eficiência energética e conforto térmico, comprovada por projeto, laudo técnico ou certificação reconhecida;</w:t>
      </w:r>
      <w:r>
        <w:rPr>
          <w:rFonts w:ascii="Arial" w:hAnsi="Arial" w:eastAsia="Arial"/>
          <w:b/>
          <w:i w:val="0"/>
          <w:color w:val="1F4E79"/>
          <w:sz w:val="24"/>
        </w:rPr>
        <w:t xml:space="preserve"> (2 pontos)</w:t>
      </w:r>
    </w:p>
    <w:p>
      <w:pPr>
        <w:spacing w:after="80" w:line="264" w:lineRule="auto"/>
        <w:ind w:left="709" w:hanging="369"/>
        <w:jc w:val="both"/>
      </w:pPr>
      <w:r>
        <w:rPr>
          <w:rFonts w:ascii="Arial" w:hAnsi="Arial" w:eastAsia="Arial"/>
          <w:b w:val="0"/>
          <w:i w:val="0"/>
          <w:sz w:val="24"/>
        </w:rPr>
        <w:t>Parágrafo único. O Poder Executivo poderá detalhar requisitos técnicos mínimos para cada medida, vedada a criação, por regulamento, de novas faixas de desconto ou a alteração dos percentuais fixados nesta Lei.</w:t>
      </w:r>
    </w:p>
    <w:p>
      <w:pPr>
        <w:keepNext/>
        <w:spacing w:after="120" w:line="276" w:lineRule="auto"/>
        <w:ind w:firstLine="709"/>
        <w:jc w:val="both"/>
      </w:pPr>
      <w:r>
        <w:rPr>
          <w:rFonts w:ascii="Arial" w:hAnsi="Arial" w:eastAsia="Arial"/>
          <w:b/>
          <w:i w:val="0"/>
          <w:sz w:val="24"/>
        </w:rPr>
        <w:t xml:space="preserve">Art. 4º </w:t>
      </w:r>
      <w:r>
        <w:rPr>
          <w:rFonts w:ascii="Arial" w:hAnsi="Arial" w:eastAsia="Arial"/>
          <w:b w:val="0"/>
          <w:i w:val="0"/>
          <w:sz w:val="24"/>
        </w:rPr>
        <w:t>O desconto anual do IPTU será calculado conforme a soma da pontuação das medidas comprovadamente existentes e em funcionamento no imóvel:</w:t>
      </w:r>
    </w:p>
    <w:p>
      <w:pPr>
        <w:spacing w:after="80" w:line="264" w:lineRule="auto"/>
        <w:ind w:left="709" w:hanging="369"/>
        <w:jc w:val="both"/>
      </w:pPr>
      <w:r>
        <w:rPr>
          <w:rFonts w:ascii="Arial" w:hAnsi="Arial" w:eastAsia="Arial"/>
          <w:b w:val="0"/>
          <w:i w:val="0"/>
          <w:sz w:val="24"/>
        </w:rPr>
        <w:t>I - de 3 (três) a 4 (quatro) pontos: desconto de 3% (três por cento);</w:t>
      </w:r>
    </w:p>
    <w:p>
      <w:pPr>
        <w:spacing w:after="80" w:line="264" w:lineRule="auto"/>
        <w:ind w:left="709" w:hanging="369"/>
        <w:jc w:val="both"/>
      </w:pPr>
      <w:r>
        <w:rPr>
          <w:rFonts w:ascii="Arial" w:hAnsi="Arial" w:eastAsia="Arial"/>
          <w:b w:val="0"/>
          <w:i w:val="0"/>
          <w:sz w:val="24"/>
        </w:rPr>
        <w:t>II - de 5 (cinco) a 6 (seis) pontos: desconto de 5% (cinco por cento);</w:t>
      </w:r>
    </w:p>
    <w:p>
      <w:pPr>
        <w:spacing w:after="80" w:line="264" w:lineRule="auto"/>
        <w:ind w:left="709" w:hanging="369"/>
        <w:jc w:val="both"/>
      </w:pPr>
      <w:r>
        <w:rPr>
          <w:rFonts w:ascii="Arial" w:hAnsi="Arial" w:eastAsia="Arial"/>
          <w:b w:val="0"/>
          <w:i w:val="0"/>
          <w:sz w:val="24"/>
        </w:rPr>
        <w:t>III - de 7 (sete) a 8 (oito) pontos: desconto de 7% (sete por cento);</w:t>
      </w:r>
    </w:p>
    <w:p>
      <w:pPr>
        <w:spacing w:after="80" w:line="264" w:lineRule="auto"/>
        <w:ind w:left="709" w:hanging="369"/>
        <w:jc w:val="both"/>
      </w:pPr>
      <w:r>
        <w:rPr>
          <w:rFonts w:ascii="Arial" w:hAnsi="Arial" w:eastAsia="Arial"/>
          <w:b w:val="0"/>
          <w:i w:val="0"/>
          <w:sz w:val="24"/>
        </w:rPr>
        <w:t>IV - 9 (nove) pontos ou mais: desconto de 10% (dez por cento).</w:t>
      </w:r>
    </w:p>
    <w:p>
      <w:pPr>
        <w:spacing w:after="80" w:line="264" w:lineRule="auto"/>
        <w:ind w:left="709" w:hanging="369"/>
        <w:jc w:val="both"/>
      </w:pPr>
      <w:r>
        <w:rPr>
          <w:rFonts w:ascii="Arial" w:hAnsi="Arial" w:eastAsia="Arial"/>
          <w:b w:val="0"/>
          <w:i w:val="0"/>
          <w:sz w:val="24"/>
        </w:rPr>
        <w:t>§ 1º O desconto máximo permitido será de 10% (dez por cento) do valor anual do IPTU.</w:t>
      </w:r>
    </w:p>
    <w:p>
      <w:pPr>
        <w:spacing w:after="80" w:line="264" w:lineRule="auto"/>
        <w:ind w:left="709" w:hanging="369"/>
        <w:jc w:val="both"/>
      </w:pPr>
      <w:r>
        <w:rPr>
          <w:rFonts w:ascii="Arial" w:hAnsi="Arial" w:eastAsia="Arial"/>
          <w:b w:val="0"/>
          <w:i w:val="0"/>
          <w:sz w:val="24"/>
        </w:rPr>
        <w:t>§ 2º O benefício não será cumulativo com outro desconto ou incentivo incidente sobre o IPTU, salvo disposição expressa em contrário na legislação municipal, assegurado ao contribuinte o benefício mais vantajoso.</w:t>
      </w:r>
    </w:p>
    <w:p>
      <w:pPr>
        <w:spacing w:after="80" w:line="264" w:lineRule="auto"/>
        <w:ind w:left="709" w:hanging="369"/>
        <w:jc w:val="both"/>
      </w:pPr>
      <w:r>
        <w:rPr>
          <w:rFonts w:ascii="Arial" w:hAnsi="Arial" w:eastAsia="Arial"/>
          <w:b w:val="0"/>
          <w:i w:val="0"/>
          <w:sz w:val="24"/>
        </w:rPr>
        <w:t>§ 3º O desconto será aplicado após os abatimentos de caráter geral previstos para pagamento em cota única, quando a legislação municipal permitir a cumulação.</w:t>
      </w:r>
    </w:p>
    <w:p>
      <w:pPr>
        <w:keepNext/>
        <w:spacing w:after="120" w:line="276" w:lineRule="auto"/>
        <w:ind w:firstLine="709"/>
        <w:jc w:val="both"/>
      </w:pPr>
      <w:r>
        <w:rPr>
          <w:rFonts w:ascii="Arial" w:hAnsi="Arial" w:eastAsia="Arial"/>
          <w:b/>
          <w:i w:val="0"/>
          <w:sz w:val="24"/>
        </w:rPr>
        <w:t xml:space="preserve">Art. 5º </w:t>
      </w:r>
      <w:r>
        <w:rPr>
          <w:rFonts w:ascii="Arial" w:hAnsi="Arial" w:eastAsia="Arial"/>
          <w:b w:val="0"/>
          <w:i w:val="0"/>
          <w:sz w:val="24"/>
        </w:rPr>
        <w:t>Poderá requerer o benefício o contribuinte do IPTU ou seu representante legal, desde que:</w:t>
      </w:r>
    </w:p>
    <w:p>
      <w:pPr>
        <w:spacing w:after="80" w:line="264" w:lineRule="auto"/>
        <w:ind w:left="709" w:hanging="369"/>
        <w:jc w:val="both"/>
      </w:pPr>
      <w:r>
        <w:rPr>
          <w:rFonts w:ascii="Arial" w:hAnsi="Arial" w:eastAsia="Arial"/>
          <w:b w:val="0"/>
          <w:i w:val="0"/>
          <w:sz w:val="24"/>
        </w:rPr>
        <w:t>I - o imóvel esteja regularmente inscrito no cadastro imobiliário municipal;</w:t>
      </w:r>
    </w:p>
    <w:p>
      <w:pPr>
        <w:spacing w:after="80" w:line="264" w:lineRule="auto"/>
        <w:ind w:left="709" w:hanging="369"/>
        <w:jc w:val="both"/>
      </w:pPr>
      <w:r>
        <w:rPr>
          <w:rFonts w:ascii="Arial" w:hAnsi="Arial" w:eastAsia="Arial"/>
          <w:b w:val="0"/>
          <w:i w:val="0"/>
          <w:sz w:val="24"/>
        </w:rPr>
        <w:t>II - os dados cadastrais do imóvel estejam atualizados;</w:t>
      </w:r>
    </w:p>
    <w:p>
      <w:pPr>
        <w:spacing w:after="80" w:line="264" w:lineRule="auto"/>
        <w:ind w:left="709" w:hanging="369"/>
        <w:jc w:val="both"/>
      </w:pPr>
      <w:r>
        <w:rPr>
          <w:rFonts w:ascii="Arial" w:hAnsi="Arial" w:eastAsia="Arial"/>
          <w:b w:val="0"/>
          <w:i w:val="0"/>
          <w:sz w:val="24"/>
        </w:rPr>
        <w:t>III - não existam débitos municipais vencidos vinculados ao imóvel ou ao requerente, ressalvados os débitos com exigibilidade suspensa ou regularmente parcelados;</w:t>
      </w:r>
    </w:p>
    <w:p>
      <w:pPr>
        <w:spacing w:after="80" w:line="264" w:lineRule="auto"/>
        <w:ind w:left="709" w:hanging="369"/>
        <w:jc w:val="both"/>
      </w:pPr>
      <w:r>
        <w:rPr>
          <w:rFonts w:ascii="Arial" w:hAnsi="Arial" w:eastAsia="Arial"/>
          <w:b w:val="0"/>
          <w:i w:val="0"/>
          <w:sz w:val="24"/>
        </w:rPr>
        <w:t>IV - as medidas sustentáveis estejam instaladas, em funcionamento e em conformidade com as normas técnicas, urbanísticas, ambientais e sanitárias aplicáveis;</w:t>
      </w:r>
    </w:p>
    <w:p>
      <w:pPr>
        <w:spacing w:after="80" w:line="264" w:lineRule="auto"/>
        <w:ind w:left="709" w:hanging="369"/>
        <w:jc w:val="both"/>
      </w:pPr>
      <w:r>
        <w:rPr>
          <w:rFonts w:ascii="Arial" w:hAnsi="Arial" w:eastAsia="Arial"/>
          <w:b w:val="0"/>
          <w:i w:val="0"/>
          <w:sz w:val="24"/>
        </w:rPr>
        <w:t>V - seja apresentado requerimento no prazo e na forma definidos pela Administração Municipal.</w:t>
      </w:r>
    </w:p>
    <w:p>
      <w:pPr>
        <w:keepNext/>
        <w:spacing w:after="120" w:line="276" w:lineRule="auto"/>
        <w:ind w:firstLine="709"/>
        <w:jc w:val="both"/>
      </w:pPr>
      <w:r>
        <w:rPr>
          <w:rFonts w:ascii="Arial" w:hAnsi="Arial" w:eastAsia="Arial"/>
          <w:b/>
          <w:i w:val="0"/>
          <w:sz w:val="24"/>
        </w:rPr>
        <w:t xml:space="preserve">Art. 6º </w:t>
      </w:r>
      <w:r>
        <w:rPr>
          <w:rFonts w:ascii="Arial" w:hAnsi="Arial" w:eastAsia="Arial"/>
          <w:b w:val="0"/>
          <w:i w:val="0"/>
          <w:sz w:val="24"/>
        </w:rPr>
        <w:t>O pedido de concessão do benefício deverá ser instruído, conforme a natureza da medida, com:</w:t>
      </w:r>
    </w:p>
    <w:p>
      <w:pPr>
        <w:spacing w:after="80" w:line="264" w:lineRule="auto"/>
        <w:ind w:left="709" w:hanging="369"/>
        <w:jc w:val="both"/>
      </w:pPr>
      <w:r>
        <w:rPr>
          <w:rFonts w:ascii="Arial" w:hAnsi="Arial" w:eastAsia="Arial"/>
          <w:b w:val="0"/>
          <w:i w:val="0"/>
          <w:sz w:val="24"/>
        </w:rPr>
        <w:t>I - identificação do contribuinte e do imóvel;</w:t>
      </w:r>
    </w:p>
    <w:p>
      <w:pPr>
        <w:spacing w:after="80" w:line="264" w:lineRule="auto"/>
        <w:ind w:left="709" w:hanging="369"/>
        <w:jc w:val="both"/>
      </w:pPr>
      <w:r>
        <w:rPr>
          <w:rFonts w:ascii="Arial" w:hAnsi="Arial" w:eastAsia="Arial"/>
          <w:b w:val="0"/>
          <w:i w:val="0"/>
          <w:sz w:val="24"/>
        </w:rPr>
        <w:t>II - comprovantes de instalação, aquisição ou execução das medidas sustentáveis;</w:t>
      </w:r>
    </w:p>
    <w:p>
      <w:pPr>
        <w:spacing w:after="80" w:line="264" w:lineRule="auto"/>
        <w:ind w:left="709" w:hanging="369"/>
        <w:jc w:val="both"/>
      </w:pPr>
      <w:r>
        <w:rPr>
          <w:rFonts w:ascii="Arial" w:hAnsi="Arial" w:eastAsia="Arial"/>
          <w:b w:val="0"/>
          <w:i w:val="0"/>
          <w:sz w:val="24"/>
        </w:rPr>
        <w:t>III - fotografias, plantas, memoriais, notas fiscais, certificados, laudos ou relatórios técnicos;</w:t>
      </w:r>
    </w:p>
    <w:p>
      <w:pPr>
        <w:spacing w:after="80" w:line="264" w:lineRule="auto"/>
        <w:ind w:left="709" w:hanging="369"/>
        <w:jc w:val="both"/>
      </w:pPr>
      <w:r>
        <w:rPr>
          <w:rFonts w:ascii="Arial" w:hAnsi="Arial" w:eastAsia="Arial"/>
          <w:b w:val="0"/>
          <w:i w:val="0"/>
          <w:sz w:val="24"/>
        </w:rPr>
        <w:t>IV - Anotação de Responsabilidade Técnica - ART, Registro de Responsabilidade Técnica - RRT ou documento equivalente, quando exigível;</w:t>
      </w:r>
    </w:p>
    <w:p>
      <w:pPr>
        <w:spacing w:after="80" w:line="264" w:lineRule="auto"/>
        <w:ind w:left="709" w:hanging="369"/>
        <w:jc w:val="both"/>
      </w:pPr>
      <w:r>
        <w:rPr>
          <w:rFonts w:ascii="Arial" w:hAnsi="Arial" w:eastAsia="Arial"/>
          <w:b w:val="0"/>
          <w:i w:val="0"/>
          <w:sz w:val="24"/>
        </w:rPr>
        <w:t>V - declaração de manutenção e funcionamento das medidas instaladas;</w:t>
      </w:r>
    </w:p>
    <w:p>
      <w:pPr>
        <w:spacing w:after="80" w:line="264" w:lineRule="auto"/>
        <w:ind w:left="709" w:hanging="369"/>
        <w:jc w:val="both"/>
      </w:pPr>
      <w:r>
        <w:rPr>
          <w:rFonts w:ascii="Arial" w:hAnsi="Arial" w:eastAsia="Arial"/>
          <w:b w:val="0"/>
          <w:i w:val="0"/>
          <w:sz w:val="24"/>
        </w:rPr>
        <w:t>VI - outros documentos estritamente necessários à verificação dos requisitos desta Lei, previstos em regulamento.</w:t>
      </w:r>
    </w:p>
    <w:p>
      <w:pPr>
        <w:spacing w:after="80" w:line="264" w:lineRule="auto"/>
        <w:ind w:left="709" w:hanging="369"/>
        <w:jc w:val="both"/>
      </w:pPr>
      <w:r>
        <w:rPr>
          <w:rFonts w:ascii="Arial" w:hAnsi="Arial" w:eastAsia="Arial"/>
          <w:b w:val="0"/>
          <w:i w:val="0"/>
          <w:sz w:val="24"/>
        </w:rPr>
        <w:t>Parágrafo único. A Administração Municipal poderá realizar vistoria no imóvel, solicitar complementação documental e consultar bases cadastrais públicas para comprovar as informações apresentadas.</w:t>
      </w:r>
    </w:p>
    <w:p>
      <w:pPr>
        <w:keepNext/>
        <w:spacing w:after="120" w:line="276" w:lineRule="auto"/>
        <w:ind w:firstLine="709"/>
        <w:jc w:val="both"/>
      </w:pPr>
      <w:r>
        <w:rPr>
          <w:rFonts w:ascii="Arial" w:hAnsi="Arial" w:eastAsia="Arial"/>
          <w:b/>
          <w:i w:val="0"/>
          <w:sz w:val="24"/>
        </w:rPr>
        <w:t xml:space="preserve">Art. 7º </w:t>
      </w:r>
      <w:r>
        <w:rPr>
          <w:rFonts w:ascii="Arial" w:hAnsi="Arial" w:eastAsia="Arial"/>
          <w:b w:val="0"/>
          <w:i w:val="0"/>
          <w:sz w:val="24"/>
        </w:rPr>
        <w:t>Após a aprovação do pedido, será emitido Certificado IPTU Verde, com validade de 2 (dois) anos, renovável mediante comprovação da manutenção das condições que deram origem ao benefício.</w:t>
      </w:r>
    </w:p>
    <w:p>
      <w:pPr>
        <w:spacing w:after="80" w:line="264" w:lineRule="auto"/>
        <w:ind w:left="709" w:hanging="369"/>
        <w:jc w:val="both"/>
      </w:pPr>
      <w:r>
        <w:rPr>
          <w:rFonts w:ascii="Arial" w:hAnsi="Arial" w:eastAsia="Arial"/>
          <w:b w:val="0"/>
          <w:i w:val="0"/>
          <w:sz w:val="24"/>
        </w:rPr>
        <w:t>§ 1º Durante o prazo de validade, o beneficiário deverá comunicar qualquer alteração que implique retirada, inutilização ou redução da eficiência das medidas certificadas.</w:t>
      </w:r>
    </w:p>
    <w:p>
      <w:pPr>
        <w:spacing w:after="80" w:line="264" w:lineRule="auto"/>
        <w:ind w:left="709" w:hanging="369"/>
        <w:jc w:val="both"/>
      </w:pPr>
      <w:r>
        <w:rPr>
          <w:rFonts w:ascii="Arial" w:hAnsi="Arial" w:eastAsia="Arial"/>
          <w:b w:val="0"/>
          <w:i w:val="0"/>
          <w:sz w:val="24"/>
        </w:rPr>
        <w:t>§ 2º A renovação poderá ser realizada por procedimento simplificado, sem prejuízo de vistoria ou auditoria pela Administração Municipal.</w:t>
      </w:r>
    </w:p>
    <w:p>
      <w:pPr>
        <w:spacing w:after="80" w:line="264" w:lineRule="auto"/>
        <w:ind w:left="709" w:hanging="369"/>
        <w:jc w:val="both"/>
      </w:pPr>
      <w:r>
        <w:rPr>
          <w:rFonts w:ascii="Arial" w:hAnsi="Arial" w:eastAsia="Arial"/>
          <w:b w:val="0"/>
          <w:i w:val="0"/>
          <w:sz w:val="24"/>
        </w:rPr>
        <w:t>§ 3º Em caso de transferência do imóvel, o benefício permanecerá vinculado ao imóvel até o término do certificado, desde que as medidas sustentáveis sejam mantidas e o cadastro seja atualizado.</w:t>
      </w:r>
    </w:p>
    <w:p>
      <w:pPr>
        <w:keepNext/>
        <w:spacing w:after="120" w:line="276" w:lineRule="auto"/>
        <w:ind w:firstLine="709"/>
        <w:jc w:val="both"/>
      </w:pPr>
      <w:r>
        <w:rPr>
          <w:rFonts w:ascii="Arial" w:hAnsi="Arial" w:eastAsia="Arial"/>
          <w:b/>
          <w:i w:val="0"/>
          <w:sz w:val="24"/>
        </w:rPr>
        <w:t xml:space="preserve">Art. 8º </w:t>
      </w:r>
      <w:r>
        <w:rPr>
          <w:rFonts w:ascii="Arial" w:hAnsi="Arial" w:eastAsia="Arial"/>
          <w:b w:val="0"/>
          <w:i w:val="0"/>
          <w:sz w:val="24"/>
        </w:rPr>
        <w:t>O benefício será suspenso ou cancelado quando:</w:t>
      </w:r>
    </w:p>
    <w:p>
      <w:pPr>
        <w:spacing w:after="80" w:line="264" w:lineRule="auto"/>
        <w:ind w:left="709" w:hanging="369"/>
        <w:jc w:val="both"/>
      </w:pPr>
      <w:r>
        <w:rPr>
          <w:rFonts w:ascii="Arial" w:hAnsi="Arial" w:eastAsia="Arial"/>
          <w:b w:val="0"/>
          <w:i w:val="0"/>
          <w:sz w:val="24"/>
        </w:rPr>
        <w:t>I - forem constatadas informações ou documentos falsos;</w:t>
      </w:r>
    </w:p>
    <w:p>
      <w:pPr>
        <w:spacing w:after="80" w:line="264" w:lineRule="auto"/>
        <w:ind w:left="709" w:hanging="369"/>
        <w:jc w:val="both"/>
      </w:pPr>
      <w:r>
        <w:rPr>
          <w:rFonts w:ascii="Arial" w:hAnsi="Arial" w:eastAsia="Arial"/>
          <w:b w:val="0"/>
          <w:i w:val="0"/>
          <w:sz w:val="24"/>
        </w:rPr>
        <w:t>II - as medidas sustentáveis forem removidas, desativadas ou deixarem de atender aos requisitos técnicos;</w:t>
      </w:r>
    </w:p>
    <w:p>
      <w:pPr>
        <w:spacing w:after="80" w:line="264" w:lineRule="auto"/>
        <w:ind w:left="709" w:hanging="369"/>
        <w:jc w:val="both"/>
      </w:pPr>
      <w:r>
        <w:rPr>
          <w:rFonts w:ascii="Arial" w:hAnsi="Arial" w:eastAsia="Arial"/>
          <w:b w:val="0"/>
          <w:i w:val="0"/>
          <w:sz w:val="24"/>
        </w:rPr>
        <w:t>III - o imóvel perder a regularidade cadastral ou fiscal exigida por esta Lei;</w:t>
      </w:r>
    </w:p>
    <w:p>
      <w:pPr>
        <w:spacing w:after="80" w:line="264" w:lineRule="auto"/>
        <w:ind w:left="709" w:hanging="369"/>
        <w:jc w:val="both"/>
      </w:pPr>
      <w:r>
        <w:rPr>
          <w:rFonts w:ascii="Arial" w:hAnsi="Arial" w:eastAsia="Arial"/>
          <w:b w:val="0"/>
          <w:i w:val="0"/>
          <w:sz w:val="24"/>
        </w:rPr>
        <w:t>IV - o beneficiário impedir ou dificultar, sem justificativa, a fiscalização municipal;</w:t>
      </w:r>
    </w:p>
    <w:p>
      <w:pPr>
        <w:spacing w:after="80" w:line="264" w:lineRule="auto"/>
        <w:ind w:left="709" w:hanging="369"/>
        <w:jc w:val="both"/>
      </w:pPr>
      <w:r>
        <w:rPr>
          <w:rFonts w:ascii="Arial" w:hAnsi="Arial" w:eastAsia="Arial"/>
          <w:b w:val="0"/>
          <w:i w:val="0"/>
          <w:sz w:val="24"/>
        </w:rPr>
        <w:t>V - houver desvio de finalidade ou utilização do benefício em desacordo com esta Lei.</w:t>
      </w:r>
    </w:p>
    <w:p>
      <w:pPr>
        <w:spacing w:after="80" w:line="264" w:lineRule="auto"/>
        <w:ind w:left="709" w:hanging="369"/>
        <w:jc w:val="both"/>
      </w:pPr>
      <w:r>
        <w:rPr>
          <w:rFonts w:ascii="Arial" w:hAnsi="Arial" w:eastAsia="Arial"/>
          <w:b w:val="0"/>
          <w:i w:val="0"/>
          <w:sz w:val="24"/>
        </w:rPr>
        <w:t>§ 1º O cancelamento será precedido de notificação e oportunidade de manifestação, observados o contraditório e a ampla defesa.</w:t>
      </w:r>
    </w:p>
    <w:p>
      <w:pPr>
        <w:spacing w:after="80" w:line="264" w:lineRule="auto"/>
        <w:ind w:left="709" w:hanging="369"/>
        <w:jc w:val="both"/>
      </w:pPr>
      <w:r>
        <w:rPr>
          <w:rFonts w:ascii="Arial" w:hAnsi="Arial" w:eastAsia="Arial"/>
          <w:b w:val="0"/>
          <w:i w:val="0"/>
          <w:sz w:val="24"/>
        </w:rPr>
        <w:t>§ 2º Comprovada fraude ou simulação, o Município poderá cobrar a diferença do imposto indevidamente reduzido, acrescida de atualização monetária, juros, multa e demais encargos previstos na legislação tributária.</w:t>
      </w:r>
    </w:p>
    <w:p>
      <w:pPr>
        <w:spacing w:after="80" w:line="264" w:lineRule="auto"/>
        <w:ind w:left="709" w:hanging="369"/>
        <w:jc w:val="both"/>
      </w:pPr>
      <w:r>
        <w:rPr>
          <w:rFonts w:ascii="Arial" w:hAnsi="Arial" w:eastAsia="Arial"/>
          <w:b w:val="0"/>
          <w:i w:val="0"/>
          <w:sz w:val="24"/>
        </w:rPr>
        <w:t>§ 3º O responsável por fraude ficará impedido de requerer novo benefício pelo prazo de 5 (cinco) anos, sem prejuízo das demais responsabilidades civis, administrativas e penais.</w:t>
      </w:r>
    </w:p>
    <w:p>
      <w:pPr>
        <w:keepNext/>
        <w:spacing w:after="120" w:line="276" w:lineRule="auto"/>
        <w:ind w:firstLine="709"/>
        <w:jc w:val="both"/>
      </w:pPr>
      <w:r>
        <w:rPr>
          <w:rFonts w:ascii="Arial" w:hAnsi="Arial" w:eastAsia="Arial"/>
          <w:b/>
          <w:i w:val="0"/>
          <w:sz w:val="24"/>
        </w:rPr>
        <w:t xml:space="preserve">Art. 9º </w:t>
      </w:r>
      <w:r>
        <w:rPr>
          <w:rFonts w:ascii="Arial" w:hAnsi="Arial" w:eastAsia="Arial"/>
          <w:b w:val="0"/>
          <w:i w:val="0"/>
          <w:sz w:val="24"/>
        </w:rPr>
        <w:t>Os condomínios edilícios poderão requerer o benefício relativamente às medidas sustentáveis instaladas nas áreas comuns, observados os critérios de pontuação, a forma de rateio entre as unidades autônomas e os procedimentos definidos em regulamento.</w:t>
      </w:r>
    </w:p>
    <w:p>
      <w:pPr>
        <w:keepNext/>
        <w:spacing w:after="120" w:line="276" w:lineRule="auto"/>
        <w:ind w:firstLine="709"/>
        <w:jc w:val="both"/>
      </w:pPr>
      <w:r>
        <w:rPr>
          <w:rFonts w:ascii="Arial" w:hAnsi="Arial" w:eastAsia="Arial"/>
          <w:b/>
          <w:i w:val="0"/>
          <w:sz w:val="24"/>
        </w:rPr>
        <w:t xml:space="preserve">Art. 10. </w:t>
      </w:r>
      <w:r>
        <w:rPr>
          <w:rFonts w:ascii="Arial" w:hAnsi="Arial" w:eastAsia="Arial"/>
          <w:b w:val="0"/>
          <w:i w:val="0"/>
          <w:sz w:val="24"/>
        </w:rPr>
        <w:t>A Administração Municipal divulgará, anualmente e de forma agregada, relatório contendo, no mínimo:</w:t>
      </w:r>
    </w:p>
    <w:p>
      <w:pPr>
        <w:spacing w:after="80" w:line="264" w:lineRule="auto"/>
        <w:ind w:left="709" w:hanging="369"/>
        <w:jc w:val="both"/>
      </w:pPr>
      <w:r>
        <w:rPr>
          <w:rFonts w:ascii="Arial" w:hAnsi="Arial" w:eastAsia="Arial"/>
          <w:b w:val="0"/>
          <w:i w:val="0"/>
          <w:sz w:val="24"/>
        </w:rPr>
        <w:t>I - quantidade de imóveis certificados;</w:t>
      </w:r>
    </w:p>
    <w:p>
      <w:pPr>
        <w:spacing w:after="80" w:line="264" w:lineRule="auto"/>
        <w:ind w:left="709" w:hanging="369"/>
        <w:jc w:val="both"/>
      </w:pPr>
      <w:r>
        <w:rPr>
          <w:rFonts w:ascii="Arial" w:hAnsi="Arial" w:eastAsia="Arial"/>
          <w:b w:val="0"/>
          <w:i w:val="0"/>
          <w:sz w:val="24"/>
        </w:rPr>
        <w:t>II - distribuição dos benefícios por faixa de desconto;</w:t>
      </w:r>
    </w:p>
    <w:p>
      <w:pPr>
        <w:spacing w:after="80" w:line="264" w:lineRule="auto"/>
        <w:ind w:left="709" w:hanging="369"/>
        <w:jc w:val="both"/>
      </w:pPr>
      <w:r>
        <w:rPr>
          <w:rFonts w:ascii="Arial" w:hAnsi="Arial" w:eastAsia="Arial"/>
          <w:b w:val="0"/>
          <w:i w:val="0"/>
          <w:sz w:val="24"/>
        </w:rPr>
        <w:t>III - valor estimado da renúncia de receita;</w:t>
      </w:r>
    </w:p>
    <w:p>
      <w:pPr>
        <w:spacing w:after="80" w:line="264" w:lineRule="auto"/>
        <w:ind w:left="709" w:hanging="369"/>
        <w:jc w:val="both"/>
      </w:pPr>
      <w:r>
        <w:rPr>
          <w:rFonts w:ascii="Arial" w:hAnsi="Arial" w:eastAsia="Arial"/>
          <w:b w:val="0"/>
          <w:i w:val="0"/>
          <w:sz w:val="24"/>
        </w:rPr>
        <w:t>IV - medidas sustentáveis mais adotadas;</w:t>
      </w:r>
    </w:p>
    <w:p>
      <w:pPr>
        <w:spacing w:after="80" w:line="264" w:lineRule="auto"/>
        <w:ind w:left="709" w:hanging="369"/>
        <w:jc w:val="both"/>
      </w:pPr>
      <w:r>
        <w:rPr>
          <w:rFonts w:ascii="Arial" w:hAnsi="Arial" w:eastAsia="Arial"/>
          <w:b w:val="0"/>
          <w:i w:val="0"/>
          <w:sz w:val="24"/>
        </w:rPr>
        <w:t>V - resultados ambientais mensuráveis, quando tecnicamente disponíveis.</w:t>
      </w:r>
    </w:p>
    <w:p>
      <w:pPr>
        <w:spacing w:after="80" w:line="264" w:lineRule="auto"/>
        <w:ind w:left="709" w:hanging="369"/>
        <w:jc w:val="both"/>
      </w:pPr>
      <w:r>
        <w:rPr>
          <w:rFonts w:ascii="Arial" w:hAnsi="Arial" w:eastAsia="Arial"/>
          <w:b w:val="0"/>
          <w:i w:val="0"/>
          <w:sz w:val="24"/>
        </w:rPr>
        <w:t>Parágrafo único. A divulgação observará a legislação de proteção de dados pessoais e o sigilo fiscal.</w:t>
      </w:r>
    </w:p>
    <w:p>
      <w:pPr>
        <w:keepNext/>
        <w:spacing w:after="120" w:line="276" w:lineRule="auto"/>
        <w:ind w:firstLine="709"/>
        <w:jc w:val="both"/>
      </w:pPr>
      <w:r>
        <w:rPr>
          <w:rFonts w:ascii="Arial" w:hAnsi="Arial" w:eastAsia="Arial"/>
          <w:b/>
          <w:i w:val="0"/>
          <w:sz w:val="24"/>
        </w:rPr>
        <w:t xml:space="preserve">Art. 11. </w:t>
      </w:r>
      <w:r>
        <w:rPr>
          <w:rFonts w:ascii="Arial" w:hAnsi="Arial" w:eastAsia="Arial"/>
          <w:b w:val="0"/>
          <w:i w:val="0"/>
          <w:sz w:val="24"/>
        </w:rPr>
        <w:t>O Poder Executivo regulamentará os procedimentos técnicos e administrativos necessários à execução desta Lei, especialmente quanto:</w:t>
      </w:r>
    </w:p>
    <w:p>
      <w:pPr>
        <w:spacing w:after="80" w:line="264" w:lineRule="auto"/>
        <w:ind w:left="709" w:hanging="369"/>
        <w:jc w:val="both"/>
      </w:pPr>
      <w:r>
        <w:rPr>
          <w:rFonts w:ascii="Arial" w:hAnsi="Arial" w:eastAsia="Arial"/>
          <w:b w:val="0"/>
          <w:i w:val="0"/>
          <w:sz w:val="24"/>
        </w:rPr>
        <w:t>I - aos prazos para protocolo e análise dos pedidos;</w:t>
      </w:r>
    </w:p>
    <w:p>
      <w:pPr>
        <w:spacing w:after="80" w:line="264" w:lineRule="auto"/>
        <w:ind w:left="709" w:hanging="369"/>
        <w:jc w:val="both"/>
      </w:pPr>
      <w:r>
        <w:rPr>
          <w:rFonts w:ascii="Arial" w:hAnsi="Arial" w:eastAsia="Arial"/>
          <w:b w:val="0"/>
          <w:i w:val="0"/>
          <w:sz w:val="24"/>
        </w:rPr>
        <w:t>II - à documentação exigida para cada medida sustentável;</w:t>
      </w:r>
    </w:p>
    <w:p>
      <w:pPr>
        <w:spacing w:after="80" w:line="264" w:lineRule="auto"/>
        <w:ind w:left="709" w:hanging="369"/>
        <w:jc w:val="both"/>
      </w:pPr>
      <w:r>
        <w:rPr>
          <w:rFonts w:ascii="Arial" w:hAnsi="Arial" w:eastAsia="Arial"/>
          <w:b w:val="0"/>
          <w:i w:val="0"/>
          <w:sz w:val="24"/>
        </w:rPr>
        <w:t>III - aos parâmetros técnicos de certificação e fiscalização;</w:t>
      </w:r>
    </w:p>
    <w:p>
      <w:pPr>
        <w:spacing w:after="80" w:line="264" w:lineRule="auto"/>
        <w:ind w:left="709" w:hanging="369"/>
        <w:jc w:val="both"/>
      </w:pPr>
      <w:r>
        <w:rPr>
          <w:rFonts w:ascii="Arial" w:hAnsi="Arial" w:eastAsia="Arial"/>
          <w:b w:val="0"/>
          <w:i w:val="0"/>
          <w:sz w:val="24"/>
        </w:rPr>
        <w:t>IV - ao procedimento de renovação, suspensão e cancelamento;</w:t>
      </w:r>
    </w:p>
    <w:p>
      <w:pPr>
        <w:spacing w:after="80" w:line="264" w:lineRule="auto"/>
        <w:ind w:left="709" w:hanging="369"/>
        <w:jc w:val="both"/>
      </w:pPr>
      <w:r>
        <w:rPr>
          <w:rFonts w:ascii="Arial" w:hAnsi="Arial" w:eastAsia="Arial"/>
          <w:b w:val="0"/>
          <w:i w:val="0"/>
          <w:sz w:val="24"/>
        </w:rPr>
        <w:t>V - à aplicação do benefício aos condomínios edilícios.</w:t>
      </w:r>
    </w:p>
    <w:p>
      <w:pPr>
        <w:keepNext/>
        <w:spacing w:after="120" w:line="276" w:lineRule="auto"/>
        <w:ind w:firstLine="709"/>
        <w:jc w:val="both"/>
      </w:pPr>
      <w:r>
        <w:rPr>
          <w:rFonts w:ascii="Arial" w:hAnsi="Arial" w:eastAsia="Arial"/>
          <w:b/>
          <w:i w:val="0"/>
          <w:sz w:val="24"/>
        </w:rPr>
        <w:t xml:space="preserve">Art. 12. </w:t>
      </w:r>
      <w:r>
        <w:rPr>
          <w:rFonts w:ascii="Arial" w:hAnsi="Arial" w:eastAsia="Arial"/>
          <w:b w:val="0"/>
          <w:i w:val="0"/>
          <w:sz w:val="24"/>
        </w:rPr>
        <w:t>A concessão e a execução do benefício fiscal previsto nesta Lei ficam condicionadas ao atendimento do art. 113 do Ato das Disposições Constitucionais Transitórias e do art. 14 da Lei Complementar Federal nº 101, de 4 de maio de 2000, incluindo a estimativa do impacto orçamentário-financeiro no exercício de início da vigência e nos 2 (dois) exercícios subsequentes, a compatibilidade com a Lei de Diretrizes Orçamentárias e o cumprimento das demais condições fiscais aplicáveis.</w:t>
      </w:r>
    </w:p>
    <w:p>
      <w:pPr>
        <w:spacing w:after="80" w:line="264" w:lineRule="auto"/>
        <w:ind w:left="709" w:hanging="369"/>
        <w:jc w:val="both"/>
      </w:pPr>
      <w:r>
        <w:rPr>
          <w:rFonts w:ascii="Arial" w:hAnsi="Arial" w:eastAsia="Arial"/>
          <w:b w:val="0"/>
          <w:i w:val="0"/>
          <w:sz w:val="24"/>
        </w:rPr>
        <w:t>Parágrafo único. Quando o benefício puder alcançar pessoas jurídicas, deverão ser observados também os requisitos adicionais da legislação nacional de responsabilidade fiscal aplicável, inclusive prazo, metas, transparência, monitoramento e avaliação de resultados.</w:t>
      </w:r>
    </w:p>
    <w:p>
      <w:pPr>
        <w:keepNext/>
        <w:spacing w:after="120" w:line="276" w:lineRule="auto"/>
        <w:ind w:firstLine="709"/>
        <w:jc w:val="both"/>
      </w:pPr>
      <w:r>
        <w:rPr>
          <w:rFonts w:ascii="Arial" w:hAnsi="Arial" w:eastAsia="Arial"/>
          <w:b/>
          <w:i w:val="0"/>
          <w:sz w:val="24"/>
        </w:rPr>
        <w:t xml:space="preserve">Art. 13. </w:t>
      </w:r>
      <w:r>
        <w:rPr>
          <w:rFonts w:ascii="Arial" w:hAnsi="Arial" w:eastAsia="Arial"/>
          <w:b w:val="0"/>
          <w:i w:val="0"/>
          <w:sz w:val="24"/>
        </w:rPr>
        <w:t>O Programa IPTU Verde terá vigência de 5 (cinco) anos, contados do início da produção de seus efeitos financeiros, podendo ser prorrogado por lei específica, após avaliação dos resultados ambientais e fiscais e novo cumprimento das exigências de responsabilidade fiscal.</w:t>
      </w:r>
    </w:p>
    <w:p>
      <w:pPr>
        <w:keepNext/>
        <w:spacing w:after="120" w:line="276" w:lineRule="auto"/>
        <w:ind w:firstLine="709"/>
        <w:jc w:val="both"/>
      </w:pPr>
      <w:r>
        <w:rPr>
          <w:rFonts w:ascii="Arial" w:hAnsi="Arial" w:eastAsia="Arial"/>
          <w:b/>
          <w:i w:val="0"/>
          <w:sz w:val="24"/>
        </w:rPr>
        <w:t xml:space="preserve">Art. 14. </w:t>
      </w:r>
      <w:r>
        <w:rPr>
          <w:rFonts w:ascii="Arial" w:hAnsi="Arial" w:eastAsia="Arial"/>
          <w:b w:val="0"/>
          <w:i w:val="0"/>
          <w:sz w:val="24"/>
        </w:rPr>
        <w:t>Esta Lei entra em vigor na data de sua publicação, produzindo efeitos financeiros a partir de 1º de janeiro do exercício seguinte ao atendimento das exigências previstas no art. 12.</w:t>
      </w:r>
    </w:p>
    <w:p>
      <w:r>
        <w:br w:type="page"/>
      </w:r>
    </w:p>
    <w:p>
      <w:pPr>
        <w:keepNext/>
        <w:spacing w:before="0" w:after="240"/>
        <w:jc w:val="center"/>
      </w:pPr>
      <w:r>
        <w:rPr>
          <w:rFonts w:ascii="Arial" w:hAnsi="Arial" w:eastAsia="Arial"/>
          <w:b/>
          <w:i w:val="0"/>
          <w:color w:val="1F4E79"/>
          <w:sz w:val="28"/>
        </w:rPr>
        <w:t>JUSTIFICATIVA</w:t>
      </w:r>
    </w:p>
    <w:p>
      <w:pPr>
        <w:spacing w:after="80" w:line="259" w:lineRule="auto"/>
        <w:ind w:firstLine="709"/>
        <w:jc w:val="both"/>
      </w:pPr>
      <w:r>
        <w:rPr>
          <w:rFonts w:ascii="Arial" w:hAnsi="Arial" w:eastAsia="Arial"/>
          <w:b w:val="0"/>
          <w:i w:val="0"/>
          <w:sz w:val="22"/>
        </w:rPr>
        <w:t>O presente Projeto de Lei propõe a instituição do Programa IPTU Verde no Município de [NOME DA CIDADE], com a finalidade de incentivar proprietários e possuidores de imóveis urbanos a adotarem medidas concretas de sustentabilidade ambiental. A proposta utiliza o IPTU como instrumento indutor de boas práticas, concedendo desconto moderado e proporcional às soluções efetivamente instaladas e comprovadas no imóvel.</w:t>
      </w:r>
    </w:p>
    <w:p>
      <w:pPr>
        <w:spacing w:after="80" w:line="259" w:lineRule="auto"/>
        <w:ind w:firstLine="709"/>
        <w:jc w:val="both"/>
      </w:pPr>
      <w:r>
        <w:rPr>
          <w:rFonts w:ascii="Arial" w:hAnsi="Arial" w:eastAsia="Arial"/>
          <w:b w:val="0"/>
          <w:i w:val="0"/>
          <w:sz w:val="22"/>
        </w:rPr>
        <w:t>O crescimento urbano amplia a pressão sobre os sistemas de drenagem, abastecimento de água e energia, além de contribuir para a impermeabilização do solo e para a formação de ilhas de calor. Soluções como captação de água da chuva, reúso de águas cinzas, geração de energia renovável, telhados verdes, ampliação de áreas permeáveis e arborização podem reduzir esses impactos e melhorar a qualidade ambiental da cidade.</w:t>
      </w:r>
    </w:p>
    <w:p>
      <w:pPr>
        <w:spacing w:after="80" w:line="259" w:lineRule="auto"/>
        <w:ind w:firstLine="709"/>
        <w:jc w:val="both"/>
      </w:pPr>
      <w:r>
        <w:rPr>
          <w:rFonts w:ascii="Arial" w:hAnsi="Arial" w:eastAsia="Arial"/>
          <w:b w:val="0"/>
          <w:i w:val="0"/>
          <w:sz w:val="22"/>
        </w:rPr>
        <w:t>A Constituição Federal atribui aos Municípios competência para legislar sobre assuntos de interesse local, suplementar a legislação federal e estadual, instituir e arrecadar os tributos de sua competência e promover o adequado ordenamento territorial. Também assegura o direito de todos ao meio ambiente ecologicamente equilibrado e impõe ao Poder Público e à coletividade o dever de defendê-lo e preservá-lo.</w:t>
      </w:r>
    </w:p>
    <w:p>
      <w:pPr>
        <w:spacing w:after="80" w:line="259" w:lineRule="auto"/>
        <w:ind w:firstLine="709"/>
        <w:jc w:val="both"/>
      </w:pPr>
      <w:r>
        <w:rPr>
          <w:rFonts w:ascii="Arial" w:hAnsi="Arial" w:eastAsia="Arial"/>
          <w:b w:val="0"/>
          <w:i w:val="0"/>
          <w:sz w:val="22"/>
        </w:rPr>
        <w:t>No campo tributário, a concessão do desconto deve observar a legalidade e a definição objetiva das condições e requisitos do benefício. Por essa razão, o texto estabelece medidas pontuáveis, faixas de desconto, limite máximo, documentação, certificação, fiscalização, renovação e hipóteses de cancelamento.</w:t>
      </w:r>
    </w:p>
    <w:p>
      <w:pPr>
        <w:spacing w:after="80" w:line="259" w:lineRule="auto"/>
        <w:ind w:firstLine="709"/>
        <w:jc w:val="both"/>
      </w:pPr>
      <w:r>
        <w:rPr>
          <w:rFonts w:ascii="Arial" w:hAnsi="Arial" w:eastAsia="Arial"/>
          <w:b w:val="0"/>
          <w:i w:val="0"/>
          <w:sz w:val="22"/>
        </w:rPr>
        <w:t>A proposta também incorpora cautelas de responsabilidade fiscal. A renúncia de receita somente poderá produzir efeitos após a elaboração da estimativa do impacto orçamentário-financeiro, a verificação de compatibilidade com a Lei de Diretrizes Orçamentárias e o cumprimento das condições previstas na legislação nacional. O relatório anual permitirá acompanhar o número de beneficiários, o custo fiscal e os resultados ambientais do programa.</w:t>
      </w:r>
    </w:p>
    <w:p>
      <w:pPr>
        <w:spacing w:after="80" w:line="259" w:lineRule="auto"/>
        <w:ind w:firstLine="709"/>
        <w:jc w:val="both"/>
      </w:pPr>
      <w:r>
        <w:rPr>
          <w:rFonts w:ascii="Arial" w:hAnsi="Arial" w:eastAsia="Arial"/>
          <w:b w:val="0"/>
          <w:i w:val="0"/>
          <w:sz w:val="22"/>
        </w:rPr>
        <w:t>O desconto máximo de 10% busca equilibrar a atratividade do incentivo com a preservação das receitas municipais. A pontuação progressiva estimula a combinação de diferentes soluções sustentáveis e evita a concessão uniforme do benefício a imóveis com níveis muito distintos de desempenho ambiental.</w:t>
      </w:r>
    </w:p>
    <w:p>
      <w:pPr>
        <w:spacing w:after="80" w:line="259" w:lineRule="auto"/>
        <w:ind w:firstLine="709"/>
        <w:jc w:val="both"/>
      </w:pPr>
      <w:r>
        <w:rPr>
          <w:rFonts w:ascii="Arial" w:hAnsi="Arial" w:eastAsia="Arial"/>
          <w:b w:val="0"/>
          <w:i w:val="0"/>
          <w:sz w:val="22"/>
        </w:rPr>
        <w:t>Trata-se, portanto, de uma medida de caráter ambiental, urbanístico e tributário que pode estimular investimentos privados, reduzir impactos urbanos e consolidar uma cultura de responsabilidade compartilhada. A versão final deverá ser adequada ao Código Tributário Municipal, ao Plano Diretor, ao Código de Obras, às normas ambientais locais e à realidade fiscal de [NOME DA CIDADE].</w:t>
      </w:r>
    </w:p>
    <w:p>
      <w:pPr>
        <w:spacing w:after="80" w:line="259" w:lineRule="auto"/>
        <w:ind w:firstLine="709"/>
        <w:jc w:val="both"/>
      </w:pPr>
      <w:r>
        <w:rPr>
          <w:rFonts w:ascii="Arial" w:hAnsi="Arial" w:eastAsia="Arial"/>
          <w:b w:val="0"/>
          <w:i w:val="0"/>
          <w:sz w:val="22"/>
        </w:rPr>
        <w:t>Diante do relevante interesse público da matéria, submeto o presente Projeto de Lei à apreciação dos nobres Vereadores, solicitando o apoio necessário à sua aprovação.</w:t>
      </w:r>
    </w:p>
    <w:p>
      <w:pPr>
        <w:spacing w:before="480" w:after="80"/>
        <w:jc w:val="center"/>
      </w:pPr>
      <w:r>
        <w:rPr>
          <w:rFonts w:ascii="Arial" w:hAnsi="Arial" w:eastAsia="Arial"/>
          <w:b/>
          <w:i w:val="0"/>
          <w:sz w:val="24"/>
        </w:rPr>
        <w:t>[NOME DA CIDADE] - [ESTADO], [DATA].</w:t>
      </w:r>
    </w:p>
    <w:p>
      <w:pPr>
        <w:spacing w:before="600"/>
        <w:jc w:val="center"/>
      </w:pPr>
      <w:r>
        <w:rPr>
          <w:rFonts w:ascii="Arial" w:hAnsi="Arial" w:eastAsia="Arial"/>
          <w:b w:val="0"/>
          <w:i w:val="0"/>
          <w:sz w:val="24"/>
        </w:rPr>
        <w:t>__________________________________________</w:t>
        <w:br/>
        <w:t>[NOME DO(A) VEREADOR(A)]</w:t>
        <w:br/>
        <w:t>Vereador(a)</w:t>
      </w:r>
    </w:p>
    <w:p>
      <w:r>
        <w:br w:type="page"/>
      </w:r>
    </w:p>
    <w:p>
      <w:pPr>
        <w:keepNext/>
        <w:spacing w:before="0" w:after="240"/>
        <w:jc w:val="center"/>
      </w:pPr>
      <w:r>
        <w:rPr>
          <w:rFonts w:ascii="Arial" w:hAnsi="Arial" w:eastAsia="Arial"/>
          <w:b/>
          <w:i w:val="0"/>
          <w:color w:val="1F4E79"/>
          <w:sz w:val="28"/>
        </w:rPr>
        <w:t>NOTAS TÉCNICAS PARA ADAPTAÇÃO ANTES DO PROTOCOLO</w:t>
      </w:r>
    </w:p>
    <w:p>
      <w:pPr>
        <w:spacing w:after="120" w:line="276" w:lineRule="auto"/>
        <w:jc w:val="both"/>
      </w:pPr>
      <w:r>
        <w:rPr>
          <w:rFonts w:ascii="Arial" w:hAnsi="Arial" w:eastAsia="Arial"/>
          <w:b w:val="0"/>
          <w:i/>
          <w:sz w:val="24"/>
        </w:rPr>
        <w:t>Esta seção integra o modelo editável para orientar a personalização. Recomenda-se removê-la da versão que será formalmente protocolada, mantendo apenas o Projeto de Lei e a Justificativa.</w:t>
      </w:r>
    </w:p>
    <w:p>
      <w:pPr>
        <w:spacing w:after="120" w:line="276" w:lineRule="auto"/>
        <w:jc w:val="both"/>
      </w:pPr>
      <w:r>
        <w:rPr>
          <w:rFonts w:ascii="Arial" w:hAnsi="Arial" w:eastAsia="Arial"/>
          <w:b/>
          <w:i w:val="0"/>
          <w:color w:val="1F4E79"/>
          <w:sz w:val="24"/>
        </w:rPr>
        <w:t xml:space="preserve">1. Dados institucionais: </w:t>
      </w:r>
      <w:r>
        <w:rPr>
          <w:rFonts w:ascii="Arial" w:hAnsi="Arial" w:eastAsia="Arial"/>
          <w:b w:val="0"/>
          <w:i w:val="0"/>
          <w:sz w:val="24"/>
        </w:rPr>
        <w:t>Substitua todos os campos entre colchetes: Estado, Município, número e ano do projeto, nome do(a) autor(a), data e demais identificações.</w:t>
      </w:r>
    </w:p>
    <w:p>
      <w:pPr>
        <w:spacing w:after="120" w:line="276" w:lineRule="auto"/>
        <w:jc w:val="both"/>
      </w:pPr>
      <w:r>
        <w:rPr>
          <w:rFonts w:ascii="Arial" w:hAnsi="Arial" w:eastAsia="Arial"/>
          <w:b/>
          <w:i w:val="0"/>
          <w:color w:val="1F4E79"/>
          <w:sz w:val="24"/>
        </w:rPr>
        <w:t xml:space="preserve">2. Código Tributário Municipal: </w:t>
      </w:r>
      <w:r>
        <w:rPr>
          <w:rFonts w:ascii="Arial" w:hAnsi="Arial" w:eastAsia="Arial"/>
          <w:b w:val="0"/>
          <w:i w:val="0"/>
          <w:sz w:val="24"/>
        </w:rPr>
        <w:t>Verifique se a legislação local exige alteração expressa de artigos do Código Tributário. Em alguns Municípios, será mais adequado apresentar o projeto como alteração da lei tributária vigente, e não como lei autônoma.</w:t>
      </w:r>
    </w:p>
    <w:p>
      <w:pPr>
        <w:spacing w:after="120" w:line="276" w:lineRule="auto"/>
        <w:jc w:val="both"/>
      </w:pPr>
      <w:r>
        <w:rPr>
          <w:rFonts w:ascii="Arial" w:hAnsi="Arial" w:eastAsia="Arial"/>
          <w:b/>
          <w:i w:val="0"/>
          <w:color w:val="1F4E79"/>
          <w:sz w:val="24"/>
        </w:rPr>
        <w:t xml:space="preserve">3. Estimativa do impacto fiscal: </w:t>
      </w:r>
      <w:r>
        <w:rPr>
          <w:rFonts w:ascii="Arial" w:hAnsi="Arial" w:eastAsia="Arial"/>
          <w:b w:val="0"/>
          <w:i w:val="0"/>
          <w:sz w:val="24"/>
        </w:rPr>
        <w:t>Anexe à proposição a estimativa do impacto orçamentário-financeiro no exercício de início e nos dois subsequentes. A mera previsão, no texto da lei, de que o benefício observará a Lei de Responsabilidade Fiscal não substitui o demonstrativo que deve acompanhar a proposta.</w:t>
      </w:r>
    </w:p>
    <w:p>
      <w:pPr>
        <w:spacing w:after="120" w:line="276" w:lineRule="auto"/>
        <w:jc w:val="both"/>
      </w:pPr>
      <w:r>
        <w:rPr>
          <w:rFonts w:ascii="Arial" w:hAnsi="Arial" w:eastAsia="Arial"/>
          <w:b/>
          <w:i w:val="0"/>
          <w:color w:val="1F4E79"/>
          <w:sz w:val="24"/>
        </w:rPr>
        <w:t xml:space="preserve">4. Condições da LRF: </w:t>
      </w:r>
      <w:r>
        <w:rPr>
          <w:rFonts w:ascii="Arial" w:hAnsi="Arial" w:eastAsia="Arial"/>
          <w:b w:val="0"/>
          <w:i w:val="0"/>
          <w:sz w:val="24"/>
        </w:rPr>
        <w:t>Demonstre que a renúncia foi considerada na estimativa da receita e não afetará as metas fiscais ou apresente medidas de compensação, conforme a alternativa aplicável. Confirme as exigências da Lei de Diretrizes Orçamentárias municipal.</w:t>
      </w:r>
    </w:p>
    <w:p>
      <w:pPr>
        <w:spacing w:after="120" w:line="276" w:lineRule="auto"/>
        <w:jc w:val="both"/>
      </w:pPr>
      <w:r>
        <w:rPr>
          <w:rFonts w:ascii="Arial" w:hAnsi="Arial" w:eastAsia="Arial"/>
          <w:b/>
          <w:i w:val="0"/>
          <w:color w:val="1F4E79"/>
          <w:sz w:val="24"/>
        </w:rPr>
        <w:t xml:space="preserve">5. Beneficiários pessoas jurídicas: </w:t>
      </w:r>
      <w:r>
        <w:rPr>
          <w:rFonts w:ascii="Arial" w:hAnsi="Arial" w:eastAsia="Arial"/>
          <w:b w:val="0"/>
          <w:i w:val="0"/>
          <w:sz w:val="24"/>
        </w:rPr>
        <w:t>Como o IPTU pode alcançar imóveis pertencentes a pessoas jurídicas, verifique os requisitos adicionais previstos na legislação nacional vigente sobre prazo do incentivo, metas objetivas, transparência, monitoramento e avaliação.</w:t>
      </w:r>
    </w:p>
    <w:p>
      <w:pPr>
        <w:spacing w:after="120" w:line="276" w:lineRule="auto"/>
        <w:jc w:val="both"/>
      </w:pPr>
      <w:r>
        <w:rPr>
          <w:rFonts w:ascii="Arial" w:hAnsi="Arial" w:eastAsia="Arial"/>
          <w:b/>
          <w:i w:val="0"/>
          <w:color w:val="1F4E79"/>
          <w:sz w:val="24"/>
        </w:rPr>
        <w:t xml:space="preserve">6. Percentuais e pontuação: </w:t>
      </w:r>
      <w:r>
        <w:rPr>
          <w:rFonts w:ascii="Arial" w:hAnsi="Arial" w:eastAsia="Arial"/>
          <w:b w:val="0"/>
          <w:i w:val="0"/>
          <w:sz w:val="24"/>
        </w:rPr>
        <w:t>Os percentuais de 3%, 5%, 7% e 10% são parâmetros de modelo. Ajuste-os após simulação fiscal. Os requisitos técnicos também devem ser adequados ao clima, à disponibilidade hídrica, ao padrão construtivo e às prioridades ambientais do Município.</w:t>
      </w:r>
    </w:p>
    <w:p>
      <w:pPr>
        <w:spacing w:after="120" w:line="276" w:lineRule="auto"/>
        <w:jc w:val="both"/>
      </w:pPr>
      <w:r>
        <w:rPr>
          <w:rFonts w:ascii="Arial" w:hAnsi="Arial" w:eastAsia="Arial"/>
          <w:b/>
          <w:i w:val="0"/>
          <w:color w:val="1F4E79"/>
          <w:sz w:val="24"/>
        </w:rPr>
        <w:t xml:space="preserve">7. Medidas obrigatórias: </w:t>
      </w:r>
      <w:r>
        <w:rPr>
          <w:rFonts w:ascii="Arial" w:hAnsi="Arial" w:eastAsia="Arial"/>
          <w:b w:val="0"/>
          <w:i w:val="0"/>
          <w:sz w:val="24"/>
        </w:rPr>
        <w:t>Não conceda pontos por obrigações que já sejam exigidas pelo Código de Obras, Plano Diretor, licenciamento ou legislação ambiental. O benefício deve premiar desempenho adicional ao mínimo obrigatório.</w:t>
      </w:r>
    </w:p>
    <w:p>
      <w:pPr>
        <w:spacing w:after="120" w:line="276" w:lineRule="auto"/>
        <w:jc w:val="both"/>
      </w:pPr>
      <w:r>
        <w:rPr>
          <w:rFonts w:ascii="Arial" w:hAnsi="Arial" w:eastAsia="Arial"/>
          <w:b/>
          <w:i w:val="0"/>
          <w:color w:val="1F4E79"/>
          <w:sz w:val="24"/>
        </w:rPr>
        <w:t xml:space="preserve">8. Estrutura administrativa: </w:t>
      </w:r>
      <w:r>
        <w:rPr>
          <w:rFonts w:ascii="Arial" w:hAnsi="Arial" w:eastAsia="Arial"/>
          <w:b w:val="0"/>
          <w:i w:val="0"/>
          <w:sz w:val="24"/>
        </w:rPr>
        <w:t>Identifique quais órgãos municipais já possuem competência para análise tributária, urbanística e ambiental. Evite criar novos cargos, secretarias, conselhos ou despesas permanentes sem estudo próprio e sem observar as regras de iniciativa.</w:t>
      </w:r>
    </w:p>
    <w:p>
      <w:pPr>
        <w:spacing w:after="120" w:line="276" w:lineRule="auto"/>
        <w:jc w:val="both"/>
      </w:pPr>
      <w:r>
        <w:rPr>
          <w:rFonts w:ascii="Arial" w:hAnsi="Arial" w:eastAsia="Arial"/>
          <w:b/>
          <w:i w:val="0"/>
          <w:color w:val="1F4E79"/>
          <w:sz w:val="24"/>
        </w:rPr>
        <w:t xml:space="preserve">9. Iniciativa legislativa: </w:t>
      </w:r>
      <w:r>
        <w:rPr>
          <w:rFonts w:ascii="Arial" w:hAnsi="Arial" w:eastAsia="Arial"/>
          <w:b w:val="0"/>
          <w:i w:val="0"/>
          <w:sz w:val="24"/>
        </w:rPr>
        <w:t>O Supremo Tribunal Federal firmou entendimento de que não há reserva de iniciativa para leis tributárias, inclusive as que concedem renúncia fiscal. Ainda assim, o texto deve ser confrontado com a Lei Orgânica, o Regimento Interno e a jurisprudência do Tribunal de Justiça local, sobretudo para evitar ingerência em organização administrativa e atribuições de órgãos do Executivo.</w:t>
      </w:r>
    </w:p>
    <w:p>
      <w:pPr>
        <w:spacing w:after="120" w:line="276" w:lineRule="auto"/>
        <w:jc w:val="both"/>
      </w:pPr>
      <w:r>
        <w:rPr>
          <w:rFonts w:ascii="Arial" w:hAnsi="Arial" w:eastAsia="Arial"/>
          <w:b/>
          <w:i w:val="0"/>
          <w:color w:val="1F4E79"/>
          <w:sz w:val="24"/>
        </w:rPr>
        <w:t xml:space="preserve">10. Revisão final: </w:t>
      </w:r>
      <w:r>
        <w:rPr>
          <w:rFonts w:ascii="Arial" w:hAnsi="Arial" w:eastAsia="Arial"/>
          <w:b w:val="0"/>
          <w:i w:val="0"/>
          <w:sz w:val="24"/>
        </w:rPr>
        <w:t>Submeta a minuta à Procuradoria ou assessoria jurídica, ao setor de tributos, à contabilidade e ao órgão ambiental do Município. Este modelo não substitui parecer jurídico, estudo fiscal ou análise técnica local.</w:t>
      </w:r>
    </w:p>
    <w:p>
      <w:pPr>
        <w:spacing w:before="320" w:after="160"/>
        <w:jc w:val="center"/>
      </w:pPr>
      <w:r>
        <w:rPr>
          <w:rFonts w:ascii="Arial" w:hAnsi="Arial" w:eastAsia="Arial"/>
          <w:b/>
          <w:i w:val="0"/>
          <w:color w:val="1F4E79"/>
          <w:sz w:val="24"/>
        </w:rPr>
        <w:t>BASE JURÍDICA DE REFERÊNCIA</w:t>
      </w:r>
    </w:p>
    <w:p>
      <w:pPr>
        <w:spacing w:after="80" w:line="264" w:lineRule="auto"/>
        <w:ind w:left="709" w:hanging="369"/>
        <w:jc w:val="both"/>
      </w:pPr>
      <w:r>
        <w:rPr>
          <w:rFonts w:ascii="Arial" w:hAnsi="Arial" w:eastAsia="Arial"/>
          <w:b w:val="0"/>
          <w:i w:val="0"/>
          <w:sz w:val="24"/>
        </w:rPr>
        <w:t>• Constituição Federal: arts. 30, incisos I, II, III e VIII; 156, inciso I; e 225.</w:t>
      </w:r>
    </w:p>
    <w:p>
      <w:pPr>
        <w:spacing w:after="80" w:line="264" w:lineRule="auto"/>
        <w:ind w:left="709" w:hanging="369"/>
        <w:jc w:val="both"/>
      </w:pPr>
      <w:r>
        <w:rPr>
          <w:rFonts w:ascii="Arial" w:hAnsi="Arial" w:eastAsia="Arial"/>
          <w:b w:val="0"/>
          <w:i w:val="0"/>
          <w:sz w:val="24"/>
        </w:rPr>
        <w:t>• Ato das Disposições Constitucionais Transitórias: art. 113.</w:t>
      </w:r>
    </w:p>
    <w:p>
      <w:pPr>
        <w:spacing w:after="80" w:line="264" w:lineRule="auto"/>
        <w:ind w:left="709" w:hanging="369"/>
        <w:jc w:val="both"/>
      </w:pPr>
      <w:r>
        <w:rPr>
          <w:rFonts w:ascii="Arial" w:hAnsi="Arial" w:eastAsia="Arial"/>
          <w:b w:val="0"/>
          <w:i w:val="0"/>
          <w:sz w:val="24"/>
        </w:rPr>
        <w:t>• Código Tributário Nacional: arts. 97, 111, 176 e 179.</w:t>
      </w:r>
    </w:p>
    <w:p>
      <w:pPr>
        <w:spacing w:after="80" w:line="264" w:lineRule="auto"/>
        <w:ind w:left="709" w:hanging="369"/>
        <w:jc w:val="both"/>
      </w:pPr>
      <w:r>
        <w:rPr>
          <w:rFonts w:ascii="Arial" w:hAnsi="Arial" w:eastAsia="Arial"/>
          <w:b w:val="0"/>
          <w:i w:val="0"/>
          <w:sz w:val="24"/>
        </w:rPr>
        <w:t>• Lei Complementar Federal nº 101/2000: arts. 14 e, quando aplicável, 14-A.</w:t>
      </w:r>
    </w:p>
    <w:p>
      <w:pPr>
        <w:spacing w:after="80" w:line="264" w:lineRule="auto"/>
        <w:ind w:left="709" w:hanging="369"/>
        <w:jc w:val="both"/>
      </w:pPr>
      <w:r>
        <w:rPr>
          <w:rFonts w:ascii="Arial" w:hAnsi="Arial" w:eastAsia="Arial"/>
          <w:b w:val="0"/>
          <w:i w:val="0"/>
          <w:sz w:val="24"/>
        </w:rPr>
        <w:t>• Supremo Tribunal Federal: Tema 682 da repercussão geral - inexistência de reserva de iniciativa para leis de natureza tributária, inclusive as que concedem renúncia fiscal.</w:t>
      </w:r>
    </w:p>
    <w:tbl>
      <w:tblPr>
        <w:tblW w:type="auto" w:w="0"/>
        <w:jc w:val="center"/>
        <w:tblLook w:firstColumn="1" w:firstRow="1" w:lastColumn="0" w:lastRow="0" w:noHBand="0" w:noVBand="1" w:val="04A0"/>
      </w:tblPr>
      <w:tblGrid>
        <w:gridCol w:w="9072"/>
      </w:tblGrid>
      <w:tr>
        <w:tc>
          <w:tcPr>
            <w:tcW w:type="dxa" w:w="9072"/>
            <w:shd w:fill="FFF2CC"/>
            <w:tcMar>
              <w:top w:w="160" w:type="dxa"/>
              <w:start w:w="200" w:type="dxa"/>
              <w:bottom w:w="160" w:type="dxa"/>
              <w:end w:w="200" w:type="dxa"/>
            </w:tcMar>
          </w:tcPr>
          <w:p>
            <w:pPr>
              <w:jc w:val="both"/>
            </w:pPr>
            <w:r>
              <w:rPr>
                <w:rFonts w:ascii="Arial" w:hAnsi="Arial" w:eastAsia="Arial"/>
                <w:b/>
                <w:i w:val="0"/>
                <w:sz w:val="20"/>
              </w:rPr>
              <w:t xml:space="preserve">AVISO: </w:t>
            </w:r>
            <w:r>
              <w:rPr>
                <w:rFonts w:ascii="Arial" w:hAnsi="Arial" w:eastAsia="Arial"/>
                <w:b w:val="0"/>
                <w:i w:val="0"/>
                <w:sz w:val="20"/>
              </w:rPr>
              <w:t>o documento é um modelo educacional e editável. A validade formal e material do projeto depende da adaptação à legislação do Município, da instrução fiscal obrigatória e da revisão pelos profissionais competentes.</w:t>
            </w:r>
          </w:p>
        </w:tc>
      </w:tr>
    </w:tbl>
    <w:sectPr w:rsidR="00FC693F" w:rsidRPr="0006063C" w:rsidSect="00034616">
      <w:headerReference w:type="default" r:id="rId9"/>
      <w:footerReference w:type="default" r:id="rId10"/>
      <w:pgSz w:w="11906" w:h="16838"/>
      <w:pgMar w:top="1247" w:right="1417" w:bottom="1134" w:left="141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8"/>
      </w:rPr>
      <w:t xml:space="preserve">Página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eastAsia="Arial"/>
        <w:b/>
        <w:i w:val="0"/>
        <w:color w:val="1F4E79"/>
        <w:sz w:val="18"/>
      </w:rPr>
      <w:t>VEREADOR PREPARADO | MODELO GRATUITO EDITÁVEL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de Lei IPTU Verde - Modelo Gratuito Editável</dc:title>
  <dc:subject>Modelo de projeto de lei municipal para incentivo ambiental no IPTU</dc:subject>
  <dc:creator>Vereador Preparado</dc:creator>
  <cp:keywords>IPTU Verde, projeto de lei, sustentabilidade, município, modelo editável</cp:keywords>
  <dc:description>Documento modelo. Deve ser adaptado e revisado antes do protocolo.</dc:description>
  <cp:lastModifiedBy/>
  <cp:revision>1</cp:revision>
  <dcterms:created xsi:type="dcterms:W3CDTF">2013-12-23T23:15:00Z</dcterms:created>
  <dcterms:modified xsi:type="dcterms:W3CDTF">2013-12-23T23:15:00Z</dcterms:modified>
  <cp:category/>
</cp:coreProperties>
</file>