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1100" w:after="160" w:line="276" w:lineRule="auto"/>
        <w:jc w:val="center"/>
      </w:pPr>
      <w:r>
        <w:rPr>
          <w:rFonts w:ascii="Arial" w:hAnsi="Arial"/>
          <w:b/>
          <w:i w:val="0"/>
          <w:color w:val="1F4E79"/>
          <w:sz w:val="24"/>
        </w:rPr>
        <w:t>MODELO GRATUITO</w:t>
      </w:r>
    </w:p>
    <w:p>
      <w:pPr>
        <w:keepNext w:val="0"/>
        <w:spacing w:before="0" w:after="200" w:line="276" w:lineRule="auto"/>
        <w:jc w:val="center"/>
      </w:pPr>
      <w:r>
        <w:rPr>
          <w:rFonts w:ascii="Arial" w:hAnsi="Arial"/>
          <w:b/>
          <w:i w:val="0"/>
          <w:color w:val="1F4E79"/>
          <w:sz w:val="56"/>
        </w:rPr>
        <w:t>BANCO MUNICIPAL DE RAÇÃO</w:t>
      </w:r>
    </w:p>
    <w:p>
      <w:pPr>
        <w:keepNext w:val="0"/>
        <w:spacing w:before="0" w:after="320" w:line="276" w:lineRule="auto"/>
        <w:jc w:val="center"/>
      </w:pPr>
      <w:r>
        <w:rPr>
          <w:rFonts w:ascii="Arial" w:hAnsi="Arial"/>
          <w:b/>
          <w:i w:val="0"/>
          <w:sz w:val="32"/>
        </w:rPr>
        <w:t>Projeto de Lei Municipal - Modelo Editável</w:t>
      </w:r>
    </w:p>
    <w:p>
      <w:pPr>
        <w:keepNext w:val="0"/>
        <w:spacing w:before="0" w:after="500" w:line="276" w:lineRule="auto"/>
        <w:jc w:val="center"/>
      </w:pPr>
      <w:r>
        <w:rPr>
          <w:rFonts w:ascii="Arial" w:hAnsi="Arial"/>
          <w:b w:val="0"/>
          <w:i w:val="0"/>
          <w:sz w:val="26"/>
        </w:rPr>
        <w:t>Institui política municipal de recebimento, armazenamento e distribuição gratuita de ração destinada à proteção e ao bem-estar de animais.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605"/>
      </w:tblGrid>
      <w:tr>
        <w:tc>
          <w:tcPr>
            <w:tcW w:type="dxa" w:w="9605"/>
            <w:vAlign w:val="center"/>
            <w:shd w:fill="EAF2F8"/>
            <w:tcBorders>
              <w:top w:val="single" w:sz="8" w:space="0" w:color="B7C9D6"/>
              <w:left w:val="single" w:sz="8" w:space="0" w:color="B7C9D6"/>
              <w:bottom w:val="single" w:sz="8" w:space="0" w:color="B7C9D6"/>
              <w:right w:val="single" w:sz="8" w:space="0" w:color="B7C9D6"/>
            </w:tcBorders>
          </w:tcPr>
          <w:p>
            <w:pPr>
              <w:spacing w:before="60" w:after="60" w:line="264" w:lineRule="auto"/>
              <w:jc w:val="both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IMPORTANTE: </w:t>
            </w:r>
            <w:r>
              <w:rPr>
                <w:rFonts w:ascii="Arial" w:hAnsi="Arial"/>
                <w:sz w:val="20"/>
              </w:rPr>
              <w:t>este documento é um modelo geral. Antes do protocolo, deve ser adaptado à Lei Orgânica, às normas de iniciativa legislativa, à estrutura administrativa, à legislação sanitária e ambiental e à realidade orçamentária do Município. Recomenda-se revisão jurídica, técnica e administrativa.</w:t>
            </w:r>
          </w:p>
        </w:tc>
      </w:tr>
    </w:tbl>
    <w:p>
      <w:pPr>
        <w:spacing w:after="0"/>
      </w:pPr>
    </w:p>
    <w:p>
      <w:pPr>
        <w:keepNext w:val="0"/>
        <w:spacing w:before="700" w:after="120" w:line="276" w:lineRule="auto"/>
        <w:jc w:val="center"/>
      </w:pPr>
      <w:r>
        <w:rPr>
          <w:rFonts w:ascii="Arial" w:hAnsi="Arial"/>
          <w:b/>
          <w:i w:val="0"/>
          <w:sz w:val="24"/>
        </w:rPr>
        <w:t>[NOME DA CIDADE] - [ESTADO]</w:t>
        <w:br/>
        <w:t>[ANO]</w:t>
      </w:r>
    </w:p>
    <w:p>
      <w:r>
        <w:br w:type="page"/>
      </w:r>
    </w:p>
    <w:p>
      <w:pPr>
        <w:keepNext w:val="0"/>
        <w:spacing w:before="0" w:after="60" w:line="276" w:lineRule="auto"/>
        <w:jc w:val="center"/>
      </w:pPr>
      <w:r>
        <w:rPr>
          <w:rFonts w:ascii="Arial" w:hAnsi="Arial"/>
          <w:b/>
          <w:i w:val="0"/>
          <w:sz w:val="24"/>
        </w:rPr>
        <w:t>ESTADO DE [ESTADO]</w:t>
      </w:r>
    </w:p>
    <w:p>
      <w:pPr>
        <w:keepNext w:val="0"/>
        <w:spacing w:before="0" w:after="240" w:line="276" w:lineRule="auto"/>
        <w:jc w:val="center"/>
      </w:pPr>
      <w:r>
        <w:rPr>
          <w:rFonts w:ascii="Arial" w:hAnsi="Arial"/>
          <w:b/>
          <w:i w:val="0"/>
          <w:sz w:val="24"/>
        </w:rPr>
        <w:t>CÂMARA MUNICIPAL DE [NOME DA CIDADE]</w:t>
      </w:r>
    </w:p>
    <w:p>
      <w:pPr>
        <w:keepNext w:val="0"/>
        <w:spacing w:before="0" w:after="200" w:line="276" w:lineRule="auto"/>
        <w:jc w:val="center"/>
      </w:pPr>
      <w:r>
        <w:rPr>
          <w:rFonts w:ascii="Arial" w:hAnsi="Arial"/>
          <w:b/>
          <w:i w:val="0"/>
          <w:sz w:val="26"/>
        </w:rPr>
        <w:t>PROJETO DE LEI Nº [NÚMERO]/[ANO]</w:t>
      </w:r>
    </w:p>
    <w:p>
      <w:pPr>
        <w:keepNext w:val="0"/>
        <w:spacing w:before="0" w:after="200" w:line="276" w:lineRule="auto"/>
        <w:jc w:val="left"/>
      </w:pPr>
      <w:r>
        <w:rPr>
          <w:rFonts w:ascii="Arial" w:hAnsi="Arial"/>
          <w:b w:val="0"/>
          <w:i w:val="0"/>
          <w:sz w:val="24"/>
        </w:rPr>
        <w:t>Autor(a): Vereador(a) [NOME DO(A) VEREADOR(A)]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605"/>
      </w:tblGrid>
      <w:tr>
        <w:tc>
          <w:tcPr>
            <w:tcW w:type="dxa" w:w="9605"/>
            <w:vAlign w:val="center"/>
            <w:shd w:fill="F2F2F2"/>
            <w:tcBorders>
              <w:top w:val="single" w:sz="8" w:space="0" w:color="B7C9D6"/>
              <w:left w:val="single" w:sz="8" w:space="0" w:color="B7C9D6"/>
              <w:bottom w:val="single" w:sz="8" w:space="0" w:color="B7C9D6"/>
              <w:right w:val="single" w:sz="8" w:space="0" w:color="B7C9D6"/>
            </w:tcBorders>
          </w:tcPr>
          <w:p>
            <w:pPr>
              <w:spacing w:before="60" w:after="60" w:line="264" w:lineRule="auto"/>
              <w:jc w:val="both"/>
            </w:pPr>
            <w:r>
              <w:rPr>
                <w:rFonts w:ascii="Arial" w:hAnsi="Arial"/>
                <w:b/>
                <w:sz w:val="20"/>
              </w:rPr>
              <w:t xml:space="preserve">EMENTA: </w:t>
            </w:r>
            <w:r>
              <w:rPr>
                <w:rFonts w:ascii="Arial" w:hAnsi="Arial"/>
                <w:sz w:val="20"/>
              </w:rPr>
              <w:t>Institui o Banco Municipal de Ração no Município de [NOME DA CIDADE], destinado ao recebimento, armazenamento e distribuição gratuita de ração para animais sob os cuidados de protetores independentes, entidades de proteção animal e famílias em situação de vulnerabilidade, e dá outras providências.</w:t>
            </w:r>
          </w:p>
        </w:tc>
      </w:tr>
    </w:tbl>
    <w:p>
      <w:pPr>
        <w:spacing w:after="0"/>
      </w:pPr>
    </w:p>
    <w:p>
      <w:pPr>
        <w:spacing w:after="120" w:line="276" w:lineRule="auto"/>
        <w:ind w:firstLine="504"/>
        <w:jc w:val="both"/>
      </w:pPr>
      <w:r>
        <w:rPr>
          <w:rFonts w:ascii="Arial" w:hAnsi="Arial"/>
          <w:b/>
          <w:sz w:val="24"/>
        </w:rPr>
        <w:t xml:space="preserve">Art. 1º </w:t>
      </w:r>
      <w:r>
        <w:rPr>
          <w:rFonts w:ascii="Arial" w:hAnsi="Arial"/>
          <w:sz w:val="24"/>
        </w:rPr>
        <w:t>Fica instituído, no âmbito do Município de [NOME DA CIDADE], o Banco Municipal de Ração, destinado a receber, selecionar, armazenar e distribuir gratuitamente doações de alimentos próprios para animais, observados os critérios desta Lei e de seu regulamento.</w:t>
      </w:r>
    </w:p>
    <w:p>
      <w:pPr>
        <w:keepNext w:val="0"/>
        <w:spacing w:before="0" w:after="120" w:line="276" w:lineRule="auto"/>
        <w:ind w:firstLine="504"/>
        <w:jc w:val="both"/>
      </w:pPr>
      <w:r>
        <w:rPr>
          <w:rFonts w:ascii="Arial" w:hAnsi="Arial"/>
          <w:b w:val="0"/>
          <w:i w:val="0"/>
          <w:sz w:val="24"/>
        </w:rPr>
        <w:t>Parágrafo único. O Banco Municipal de Ração integra a política municipal de proteção e bem-estar animal e será executado, preferencialmente, por meio da estrutura administrativa já existente e de parcerias legalmente admitidas.</w:t>
      </w:r>
    </w:p>
    <w:p>
      <w:pPr>
        <w:spacing w:after="120" w:line="276" w:lineRule="auto"/>
        <w:ind w:firstLine="504"/>
        <w:jc w:val="both"/>
      </w:pPr>
      <w:r>
        <w:rPr>
          <w:rFonts w:ascii="Arial" w:hAnsi="Arial"/>
          <w:b/>
          <w:sz w:val="24"/>
        </w:rPr>
        <w:t xml:space="preserve">Art. 2º </w:t>
      </w:r>
      <w:r>
        <w:rPr>
          <w:rFonts w:ascii="Arial" w:hAnsi="Arial"/>
          <w:sz w:val="24"/>
        </w:rPr>
        <w:t>São objetivos do Banco Municipal de Ração: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 - </w:t>
      </w:r>
      <w:r>
        <w:rPr>
          <w:rFonts w:ascii="Arial" w:hAnsi="Arial"/>
          <w:sz w:val="24"/>
        </w:rPr>
        <w:t>contribuir para a segurança alimentar e o bem-estar de animais em situação de vulnerabilidade;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II - </w:t>
      </w:r>
      <w:r>
        <w:rPr>
          <w:rFonts w:ascii="Arial" w:hAnsi="Arial"/>
          <w:sz w:val="24"/>
        </w:rPr>
        <w:t>apoiar protetores independentes, organizações da sociedade civil, lares temporários e famílias de baixa renda que mantenham animais sob sua responsabilidade;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III - </w:t>
      </w:r>
      <w:r>
        <w:rPr>
          <w:rFonts w:ascii="Arial" w:hAnsi="Arial"/>
          <w:sz w:val="24"/>
        </w:rPr>
        <w:t>estimular a solidariedade, a guarda responsável e a participação comunitária na proteção animal;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IV - </w:t>
      </w:r>
      <w:r>
        <w:rPr>
          <w:rFonts w:ascii="Arial" w:hAnsi="Arial"/>
          <w:sz w:val="24"/>
        </w:rPr>
        <w:t>reduzir situações de abandono, fome, maus-tratos e agravamento de problemas de saúde decorrentes da alimentação insuficiente ou inadequada;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V - </w:t>
      </w:r>
      <w:r>
        <w:rPr>
          <w:rFonts w:ascii="Arial" w:hAnsi="Arial"/>
          <w:sz w:val="24"/>
        </w:rPr>
        <w:t>promover o aproveitamento seguro de produtos próprios para alimentação animal que estejam aptos ao consumo e possam ser legalmente doados;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VI - </w:t>
      </w:r>
      <w:r>
        <w:rPr>
          <w:rFonts w:ascii="Arial" w:hAnsi="Arial"/>
          <w:sz w:val="24"/>
        </w:rPr>
        <w:t>articular campanhas educativas e ações integradas de proteção e manejo ético de cães, gatos e outros animais domésticos, conforme a legislação aplicável.</w:t>
      </w:r>
    </w:p>
    <w:p>
      <w:pPr>
        <w:spacing w:after="120" w:line="276" w:lineRule="auto"/>
        <w:ind w:firstLine="504"/>
        <w:jc w:val="both"/>
      </w:pPr>
      <w:r>
        <w:rPr>
          <w:rFonts w:ascii="Arial" w:hAnsi="Arial"/>
          <w:b/>
          <w:sz w:val="24"/>
        </w:rPr>
        <w:t xml:space="preserve">Art. 3º </w:t>
      </w:r>
      <w:r>
        <w:rPr>
          <w:rFonts w:ascii="Arial" w:hAnsi="Arial"/>
          <w:sz w:val="24"/>
        </w:rPr>
        <w:t>O Banco Municipal de Ração poderá receber doações provenientes de: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 - </w:t>
      </w:r>
      <w:r>
        <w:rPr>
          <w:rFonts w:ascii="Arial" w:hAnsi="Arial"/>
          <w:sz w:val="24"/>
        </w:rPr>
        <w:t>pessoas físicas;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II - </w:t>
      </w:r>
      <w:r>
        <w:rPr>
          <w:rFonts w:ascii="Arial" w:hAnsi="Arial"/>
          <w:sz w:val="24"/>
        </w:rPr>
        <w:t>pessoas jurídicas de direito público ou privado;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III - </w:t>
      </w:r>
      <w:r>
        <w:rPr>
          <w:rFonts w:ascii="Arial" w:hAnsi="Arial"/>
          <w:sz w:val="24"/>
        </w:rPr>
        <w:t>estabelecimentos fabricantes, distribuidores ou comerciantes de produtos destinados à alimentação animal, regularmente constituídos;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IV - </w:t>
      </w:r>
      <w:r>
        <w:rPr>
          <w:rFonts w:ascii="Arial" w:hAnsi="Arial"/>
          <w:sz w:val="24"/>
        </w:rPr>
        <w:t>organizações da sociedade civil, associações, fundações, condomínios, instituições de ensino e grupos comunitários;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V - </w:t>
      </w:r>
      <w:r>
        <w:rPr>
          <w:rFonts w:ascii="Arial" w:hAnsi="Arial"/>
          <w:sz w:val="24"/>
        </w:rPr>
        <w:t>campanhas, eventos, termos de cooperação, acordos, convênios e outros instrumentos legalmente admitidos;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VI - </w:t>
      </w:r>
      <w:r>
        <w:rPr>
          <w:rFonts w:ascii="Arial" w:hAnsi="Arial"/>
          <w:sz w:val="24"/>
        </w:rPr>
        <w:t>produtos apreendidos ou recolhidos por órgãos públicos, desde que haja autorização legal para doação e comprovação de que estejam próprios e seguros para consumo animal.</w:t>
      </w:r>
    </w:p>
    <w:p>
      <w:pPr>
        <w:keepNext w:val="0"/>
        <w:spacing w:before="0" w:after="120" w:line="276" w:lineRule="auto"/>
        <w:ind w:firstLine="504"/>
        <w:jc w:val="both"/>
      </w:pPr>
      <w:r>
        <w:rPr>
          <w:rFonts w:ascii="Arial" w:hAnsi="Arial"/>
          <w:b w:val="0"/>
          <w:i w:val="0"/>
          <w:sz w:val="24"/>
        </w:rPr>
        <w:t>§ 1º As doações serão gratuitas, voluntárias e sem contrapartida obrigatória do Município.</w:t>
      </w:r>
    </w:p>
    <w:p>
      <w:pPr>
        <w:keepNext w:val="0"/>
        <w:spacing w:before="0" w:after="120" w:line="276" w:lineRule="auto"/>
        <w:ind w:firstLine="504"/>
        <w:jc w:val="both"/>
      </w:pPr>
      <w:r>
        <w:rPr>
          <w:rFonts w:ascii="Arial" w:hAnsi="Arial"/>
          <w:b w:val="0"/>
          <w:i w:val="0"/>
          <w:sz w:val="24"/>
        </w:rPr>
        <w:t>§ 2º A aceitação da doação dependerá da verificação das condições de segurança, identificação, integridade, validade e armazenamento do produto.</w:t>
      </w:r>
    </w:p>
    <w:p>
      <w:pPr>
        <w:spacing w:after="120" w:line="276" w:lineRule="auto"/>
        <w:ind w:firstLine="504"/>
        <w:jc w:val="both"/>
      </w:pPr>
      <w:r>
        <w:rPr>
          <w:rFonts w:ascii="Arial" w:hAnsi="Arial"/>
          <w:b/>
          <w:sz w:val="24"/>
        </w:rPr>
        <w:t xml:space="preserve">Art. 4º </w:t>
      </w:r>
      <w:r>
        <w:rPr>
          <w:rFonts w:ascii="Arial" w:hAnsi="Arial"/>
          <w:sz w:val="24"/>
        </w:rPr>
        <w:t>Poderão ser recebidos e distribuídos pelo Banco Municipal de Ração: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 - </w:t>
      </w:r>
      <w:r>
        <w:rPr>
          <w:rFonts w:ascii="Arial" w:hAnsi="Arial"/>
          <w:sz w:val="24"/>
        </w:rPr>
        <w:t>rações industrializadas secas ou úmidas, em embalagem original, íntegra, identificada e dentro do prazo de validade;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II - </w:t>
      </w:r>
      <w:r>
        <w:rPr>
          <w:rFonts w:ascii="Arial" w:hAnsi="Arial"/>
          <w:sz w:val="24"/>
        </w:rPr>
        <w:t>alimentos específicos para animais, desde que regularizados, adequadamente identificados e próprios para o consumo;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III - </w:t>
      </w:r>
      <w:r>
        <w:rPr>
          <w:rFonts w:ascii="Arial" w:hAnsi="Arial"/>
          <w:sz w:val="24"/>
        </w:rPr>
        <w:t>produtos com embalagem externa danificada, apenas quando a embalagem primária permanecer íntegra, inviolada e permitir a identificação do fabricante, do lote e da validade;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IV - </w:t>
      </w:r>
      <w:r>
        <w:rPr>
          <w:rFonts w:ascii="Arial" w:hAnsi="Arial"/>
          <w:sz w:val="24"/>
        </w:rPr>
        <w:t>outros produtos destinados à alimentação animal cuja recepção e distribuição sejam admitidas pela legislação sanitária e agropecuária aplicável.</w:t>
      </w:r>
    </w:p>
    <w:p>
      <w:pPr>
        <w:keepNext w:val="0"/>
        <w:spacing w:before="0" w:after="120" w:line="276" w:lineRule="auto"/>
        <w:ind w:firstLine="504"/>
        <w:jc w:val="both"/>
      </w:pPr>
      <w:r>
        <w:rPr>
          <w:rFonts w:ascii="Arial" w:hAnsi="Arial"/>
          <w:b w:val="0"/>
          <w:i w:val="0"/>
          <w:sz w:val="24"/>
        </w:rPr>
        <w:t>Parágrafo único. A recepção de produtos destinados a animais com necessidades especiais dependerá de identificação clara da espécie, faixa etária, condição de saúde e indicação de uso.</w:t>
      </w:r>
    </w:p>
    <w:p>
      <w:pPr>
        <w:spacing w:after="120" w:line="276" w:lineRule="auto"/>
        <w:ind w:firstLine="504"/>
        <w:jc w:val="both"/>
      </w:pPr>
      <w:r>
        <w:rPr>
          <w:rFonts w:ascii="Arial" w:hAnsi="Arial"/>
          <w:b/>
          <w:sz w:val="24"/>
        </w:rPr>
        <w:t xml:space="preserve">Art. 5º </w:t>
      </w:r>
      <w:r>
        <w:rPr>
          <w:rFonts w:ascii="Arial" w:hAnsi="Arial"/>
          <w:sz w:val="24"/>
        </w:rPr>
        <w:t>É vedado receber ou distribuir: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 - </w:t>
      </w:r>
      <w:r>
        <w:rPr>
          <w:rFonts w:ascii="Arial" w:hAnsi="Arial"/>
          <w:sz w:val="24"/>
        </w:rPr>
        <w:t>ração vencida, deteriorada, mofada, úmida, contaminada, adulterada ou com odor, cor ou aspecto incompatíveis com a normalidade;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II - </w:t>
      </w:r>
      <w:r>
        <w:rPr>
          <w:rFonts w:ascii="Arial" w:hAnsi="Arial"/>
          <w:sz w:val="24"/>
        </w:rPr>
        <w:t>produto sem identificação de origem, fabricante, lote ou prazo de validade, quando tais informações forem exigíveis;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III - </w:t>
      </w:r>
      <w:r>
        <w:rPr>
          <w:rFonts w:ascii="Arial" w:hAnsi="Arial"/>
          <w:sz w:val="24"/>
        </w:rPr>
        <w:t>embalagem aberta, violada ou sem condições de garantir a inocuidade do produto, ressalvada hipótese expressamente autorizada pelas normas técnicas e sanitárias;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IV - </w:t>
      </w:r>
      <w:r>
        <w:rPr>
          <w:rFonts w:ascii="Arial" w:hAnsi="Arial"/>
          <w:sz w:val="24"/>
        </w:rPr>
        <w:t>restos de alimentos destinados ao consumo humano, preparações caseiras ou produtos perecíveis sem controle sanitário;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V - </w:t>
      </w:r>
      <w:r>
        <w:rPr>
          <w:rFonts w:ascii="Arial" w:hAnsi="Arial"/>
          <w:sz w:val="24"/>
        </w:rPr>
        <w:t>alimento medicamentoso, suplemento terapêutico ou produto sujeito a prescrição sem a documentação e o controle exigidos pela legislação;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VI - </w:t>
      </w:r>
      <w:r>
        <w:rPr>
          <w:rFonts w:ascii="Arial" w:hAnsi="Arial"/>
          <w:sz w:val="24"/>
        </w:rPr>
        <w:t>produto cuja distribuição represente risco à saúde animal, à saúde pública ou ao meio ambiente.</w:t>
      </w:r>
    </w:p>
    <w:p>
      <w:pPr>
        <w:keepNext w:val="0"/>
        <w:spacing w:before="0" w:after="120" w:line="276" w:lineRule="auto"/>
        <w:ind w:firstLine="504"/>
        <w:jc w:val="both"/>
      </w:pPr>
      <w:r>
        <w:rPr>
          <w:rFonts w:ascii="Arial" w:hAnsi="Arial"/>
          <w:b w:val="0"/>
          <w:i w:val="0"/>
          <w:sz w:val="24"/>
        </w:rPr>
        <w:t>Parágrafo único. Os produtos recusados, impróprios ou que perderem a validade durante o armazenamento terão destinação ambientalmente adequada, vedada sua distribuição.</w:t>
      </w:r>
    </w:p>
    <w:p>
      <w:pPr>
        <w:spacing w:after="120" w:line="276" w:lineRule="auto"/>
        <w:ind w:firstLine="504"/>
        <w:jc w:val="both"/>
      </w:pPr>
      <w:r>
        <w:rPr>
          <w:rFonts w:ascii="Arial" w:hAnsi="Arial"/>
          <w:b/>
          <w:sz w:val="24"/>
        </w:rPr>
        <w:t xml:space="preserve">Art. 6º </w:t>
      </w:r>
      <w:r>
        <w:rPr>
          <w:rFonts w:ascii="Arial" w:hAnsi="Arial"/>
          <w:sz w:val="24"/>
        </w:rPr>
        <w:t>Poderão ser beneficiários do Banco Municipal de Ração, conforme disponibilidade de estoque e critérios definidos em regulamento: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 - </w:t>
      </w:r>
      <w:r>
        <w:rPr>
          <w:rFonts w:ascii="Arial" w:hAnsi="Arial"/>
          <w:sz w:val="24"/>
        </w:rPr>
        <w:t>protetores independentes de animais devidamente cadastrados;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II - </w:t>
      </w:r>
      <w:r>
        <w:rPr>
          <w:rFonts w:ascii="Arial" w:hAnsi="Arial"/>
          <w:sz w:val="24"/>
        </w:rPr>
        <w:t>organizações da sociedade civil e entidades sem fins lucrativos que atuem comprovadamente na proteção animal;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III - </w:t>
      </w:r>
      <w:r>
        <w:rPr>
          <w:rFonts w:ascii="Arial" w:hAnsi="Arial"/>
          <w:sz w:val="24"/>
        </w:rPr>
        <w:t>lares temporários e responsáveis por colônias, abrigos ou grupos de animais, desde que observadas as normas locais;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IV - </w:t>
      </w:r>
      <w:r>
        <w:rPr>
          <w:rFonts w:ascii="Arial" w:hAnsi="Arial"/>
          <w:sz w:val="24"/>
        </w:rPr>
        <w:t>famílias inscritas no Cadastro Único para Programas Sociais do Governo Federal ou que comprovem situação de vulnerabilidade socioeconômica, quando responsáveis por animais domésticos;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V - </w:t>
      </w:r>
      <w:r>
        <w:rPr>
          <w:rFonts w:ascii="Arial" w:hAnsi="Arial"/>
          <w:sz w:val="24"/>
        </w:rPr>
        <w:t>órgãos ou unidades públicas municipais que mantenham animais sob guarda legítima, quando houver disponibilidade e compatibilidade com a finalidade do programa.</w:t>
      </w:r>
    </w:p>
    <w:p>
      <w:pPr>
        <w:keepNext w:val="0"/>
        <w:spacing w:before="0" w:after="120" w:line="276" w:lineRule="auto"/>
        <w:ind w:firstLine="504"/>
        <w:jc w:val="both"/>
      </w:pPr>
      <w:r>
        <w:rPr>
          <w:rFonts w:ascii="Arial" w:hAnsi="Arial"/>
          <w:b w:val="0"/>
          <w:i w:val="0"/>
          <w:sz w:val="24"/>
        </w:rPr>
        <w:t>§ 1º A condição de beneficiário não gera direito adquirido ao recebimento contínuo ou em quantidade determinada, pois a distribuição dependerá das doações disponíveis.</w:t>
      </w:r>
    </w:p>
    <w:p>
      <w:pPr>
        <w:keepNext w:val="0"/>
        <w:spacing w:before="0" w:after="120" w:line="276" w:lineRule="auto"/>
        <w:ind w:firstLine="504"/>
        <w:jc w:val="both"/>
      </w:pPr>
      <w:r>
        <w:rPr>
          <w:rFonts w:ascii="Arial" w:hAnsi="Arial"/>
          <w:b w:val="0"/>
          <w:i w:val="0"/>
          <w:sz w:val="24"/>
        </w:rPr>
        <w:t>§ 2º O regulamento poderá estabelecer prioridades, considerando o número de animais assistidos, a situação de vulnerabilidade, emergências, resgates, fêmeas com filhotes, animais idosos, enfermos ou com necessidades nutricionais específicas.</w:t>
      </w:r>
    </w:p>
    <w:p>
      <w:pPr>
        <w:spacing w:after="120" w:line="276" w:lineRule="auto"/>
        <w:ind w:firstLine="504"/>
        <w:jc w:val="both"/>
      </w:pPr>
      <w:r>
        <w:rPr>
          <w:rFonts w:ascii="Arial" w:hAnsi="Arial"/>
          <w:b/>
          <w:sz w:val="24"/>
        </w:rPr>
        <w:t xml:space="preserve">Art. 7º </w:t>
      </w:r>
      <w:r>
        <w:rPr>
          <w:rFonts w:ascii="Arial" w:hAnsi="Arial"/>
          <w:sz w:val="24"/>
        </w:rPr>
        <w:t>O cadastro dos beneficiários poderá exigir, conforme a categoria: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 - </w:t>
      </w:r>
      <w:r>
        <w:rPr>
          <w:rFonts w:ascii="Arial" w:hAnsi="Arial"/>
          <w:sz w:val="24"/>
        </w:rPr>
        <w:t>documento de identificação e comprovante de residência;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II - </w:t>
      </w:r>
      <w:r>
        <w:rPr>
          <w:rFonts w:ascii="Arial" w:hAnsi="Arial"/>
          <w:sz w:val="24"/>
        </w:rPr>
        <w:t>comprovação da atuação na proteção animal ou da responsabilidade pelos animais;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III - </w:t>
      </w:r>
      <w:r>
        <w:rPr>
          <w:rFonts w:ascii="Arial" w:hAnsi="Arial"/>
          <w:sz w:val="24"/>
        </w:rPr>
        <w:t>informações sobre a quantidade, espécie, faixa etária e condição dos animais atendidos;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IV - </w:t>
      </w:r>
      <w:r>
        <w:rPr>
          <w:rFonts w:ascii="Arial" w:hAnsi="Arial"/>
          <w:sz w:val="24"/>
        </w:rPr>
        <w:t>comprovação da situação de vulnerabilidade socioeconômica, quando aplicável;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V - </w:t>
      </w:r>
      <w:r>
        <w:rPr>
          <w:rFonts w:ascii="Arial" w:hAnsi="Arial"/>
          <w:sz w:val="24"/>
        </w:rPr>
        <w:t>declaração de que a ração será utilizada exclusivamente na alimentação dos animais informados e não será comercializada;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VI - </w:t>
      </w:r>
      <w:r>
        <w:rPr>
          <w:rFonts w:ascii="Arial" w:hAnsi="Arial"/>
          <w:sz w:val="24"/>
        </w:rPr>
        <w:t>autorização para vistoria ou verificação das informações, quando necessária e proporcional.</w:t>
      </w:r>
    </w:p>
    <w:p>
      <w:pPr>
        <w:keepNext w:val="0"/>
        <w:spacing w:before="0" w:after="120" w:line="276" w:lineRule="auto"/>
        <w:ind w:firstLine="504"/>
        <w:jc w:val="both"/>
      </w:pPr>
      <w:r>
        <w:rPr>
          <w:rFonts w:ascii="Arial" w:hAnsi="Arial"/>
          <w:b w:val="0"/>
          <w:i w:val="0"/>
          <w:sz w:val="24"/>
        </w:rPr>
        <w:t>§ 1º A coleta e o tratamento de dados pessoais deverão observar a legislação de proteção de dados, com utilização limitada às finalidades do programa.</w:t>
      </w:r>
    </w:p>
    <w:p>
      <w:pPr>
        <w:keepNext w:val="0"/>
        <w:spacing w:before="0" w:after="120" w:line="276" w:lineRule="auto"/>
        <w:ind w:firstLine="504"/>
        <w:jc w:val="both"/>
      </w:pPr>
      <w:r>
        <w:rPr>
          <w:rFonts w:ascii="Arial" w:hAnsi="Arial"/>
          <w:b w:val="0"/>
          <w:i w:val="0"/>
          <w:sz w:val="24"/>
        </w:rPr>
        <w:t>§ 2º O procedimento de cadastro deverá ser simples, acessível e adequado à realidade dos beneficiários, evitando exigências desnecessárias.</w:t>
      </w:r>
    </w:p>
    <w:p>
      <w:pPr>
        <w:spacing w:after="120" w:line="276" w:lineRule="auto"/>
        <w:ind w:firstLine="504"/>
        <w:jc w:val="both"/>
      </w:pPr>
      <w:r>
        <w:rPr>
          <w:rFonts w:ascii="Arial" w:hAnsi="Arial"/>
          <w:b/>
          <w:sz w:val="24"/>
        </w:rPr>
        <w:t xml:space="preserve">Art. 8º </w:t>
      </w:r>
      <w:r>
        <w:rPr>
          <w:rFonts w:ascii="Arial" w:hAnsi="Arial"/>
          <w:sz w:val="24"/>
        </w:rPr>
        <w:t>A distribuição da ração observará: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 - </w:t>
      </w:r>
      <w:r>
        <w:rPr>
          <w:rFonts w:ascii="Arial" w:hAnsi="Arial"/>
          <w:sz w:val="24"/>
        </w:rPr>
        <w:t>a disponibilidade e a composição do estoque;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II - </w:t>
      </w:r>
      <w:r>
        <w:rPr>
          <w:rFonts w:ascii="Arial" w:hAnsi="Arial"/>
          <w:sz w:val="24"/>
        </w:rPr>
        <w:t>a ordem de prioridade estabelecida em regulamento;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III - </w:t>
      </w:r>
      <w:r>
        <w:rPr>
          <w:rFonts w:ascii="Arial" w:hAnsi="Arial"/>
          <w:sz w:val="24"/>
        </w:rPr>
        <w:t>a adequação do alimento à espécie, à idade e, quando conhecida, à condição do animal;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IV - </w:t>
      </w:r>
      <w:r>
        <w:rPr>
          <w:rFonts w:ascii="Arial" w:hAnsi="Arial"/>
          <w:sz w:val="24"/>
        </w:rPr>
        <w:t>limites periódicos por beneficiário, definidos de modo proporcional ao número de animais assistidos;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V - </w:t>
      </w:r>
      <w:r>
        <w:rPr>
          <w:rFonts w:ascii="Arial" w:hAnsi="Arial"/>
          <w:sz w:val="24"/>
        </w:rPr>
        <w:t>registro da entrega, com indicação do produto, quantidade, lote, validade, data e identificação do recebedor;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VI - </w:t>
      </w:r>
      <w:r>
        <w:rPr>
          <w:rFonts w:ascii="Arial" w:hAnsi="Arial"/>
          <w:sz w:val="24"/>
        </w:rPr>
        <w:t>orientação para conservação e uso adequado do produto.</w:t>
      </w:r>
    </w:p>
    <w:p>
      <w:pPr>
        <w:keepNext w:val="0"/>
        <w:spacing w:before="0" w:after="120" w:line="276" w:lineRule="auto"/>
        <w:ind w:firstLine="504"/>
        <w:jc w:val="both"/>
      </w:pPr>
      <w:r>
        <w:rPr>
          <w:rFonts w:ascii="Arial" w:hAnsi="Arial"/>
          <w:b w:val="0"/>
          <w:i w:val="0"/>
          <w:sz w:val="24"/>
        </w:rPr>
        <w:t>§ 1º É proibida a venda, permuta, cessão onerosa ou utilização comercial da ração recebida.</w:t>
      </w:r>
    </w:p>
    <w:p>
      <w:pPr>
        <w:keepNext w:val="0"/>
        <w:spacing w:before="0" w:after="120" w:line="276" w:lineRule="auto"/>
        <w:ind w:firstLine="504"/>
        <w:jc w:val="both"/>
      </w:pPr>
      <w:r>
        <w:rPr>
          <w:rFonts w:ascii="Arial" w:hAnsi="Arial"/>
          <w:b w:val="0"/>
          <w:i w:val="0"/>
          <w:sz w:val="24"/>
        </w:rPr>
        <w:t>§ 2º Sempre que houver quantidade insuficiente para atender a todos os cadastrados, serão aplicados critérios objetivos, impessoais e transparentes de prioridade.</w:t>
      </w:r>
    </w:p>
    <w:p>
      <w:pPr>
        <w:spacing w:after="120" w:line="276" w:lineRule="auto"/>
        <w:ind w:firstLine="504"/>
        <w:jc w:val="both"/>
      </w:pPr>
      <w:r>
        <w:rPr>
          <w:rFonts w:ascii="Arial" w:hAnsi="Arial"/>
          <w:b/>
          <w:sz w:val="24"/>
        </w:rPr>
        <w:t xml:space="preserve">Art. 9º </w:t>
      </w:r>
      <w:r>
        <w:rPr>
          <w:rFonts w:ascii="Arial" w:hAnsi="Arial"/>
          <w:sz w:val="24"/>
        </w:rPr>
        <w:t>O armazenamento e o controle do estoque deverão assegurar: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 - </w:t>
      </w:r>
      <w:r>
        <w:rPr>
          <w:rFonts w:ascii="Arial" w:hAnsi="Arial"/>
          <w:sz w:val="24"/>
        </w:rPr>
        <w:t>ambiente limpo, seco, ventilado, protegido de umidade, calor excessivo, pragas e contaminações;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II - </w:t>
      </w:r>
      <w:r>
        <w:rPr>
          <w:rFonts w:ascii="Arial" w:hAnsi="Arial"/>
          <w:sz w:val="24"/>
        </w:rPr>
        <w:t>separação por espécie, categoria, composição, condição de uso e prazo de validade;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III - </w:t>
      </w:r>
      <w:r>
        <w:rPr>
          <w:rFonts w:ascii="Arial" w:hAnsi="Arial"/>
          <w:sz w:val="24"/>
        </w:rPr>
        <w:t>identificação e rastreabilidade dos produtos recebidos e distribuídos;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IV - </w:t>
      </w:r>
      <w:r>
        <w:rPr>
          <w:rFonts w:ascii="Arial" w:hAnsi="Arial"/>
          <w:sz w:val="24"/>
        </w:rPr>
        <w:t>prioridade de distribuição aos produtos com vencimento mais próximo, desde que mantidas as condições de segurança;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V - </w:t>
      </w:r>
      <w:r>
        <w:rPr>
          <w:rFonts w:ascii="Arial" w:hAnsi="Arial"/>
          <w:sz w:val="24"/>
        </w:rPr>
        <w:t>inspeção periódica do estoque e retirada imediata dos produtos impróprios;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VI - </w:t>
      </w:r>
      <w:r>
        <w:rPr>
          <w:rFonts w:ascii="Arial" w:hAnsi="Arial"/>
          <w:sz w:val="24"/>
        </w:rPr>
        <w:t>registro de entrada, saída, perda, descarte e saldo disponível.</w:t>
      </w:r>
    </w:p>
    <w:p>
      <w:pPr>
        <w:keepNext w:val="0"/>
        <w:spacing w:before="0" w:after="120" w:line="276" w:lineRule="auto"/>
        <w:ind w:firstLine="504"/>
        <w:jc w:val="both"/>
      </w:pPr>
      <w:r>
        <w:rPr>
          <w:rFonts w:ascii="Arial" w:hAnsi="Arial"/>
          <w:b w:val="0"/>
          <w:i w:val="0"/>
          <w:sz w:val="24"/>
        </w:rPr>
        <w:t>Parágrafo único. O fracionamento ou reembalagem somente poderá ocorrer quando permitido pela legislação aplicável e realizado com procedimentos que preservem a identificação, a qualidade, a inocuidade e a segurança do produto.</w:t>
      </w:r>
    </w:p>
    <w:p>
      <w:pPr>
        <w:spacing w:after="120" w:line="276" w:lineRule="auto"/>
        <w:ind w:firstLine="504"/>
        <w:jc w:val="both"/>
      </w:pPr>
      <w:r>
        <w:rPr>
          <w:rFonts w:ascii="Arial" w:hAnsi="Arial"/>
          <w:b/>
          <w:sz w:val="24"/>
        </w:rPr>
        <w:t xml:space="preserve">Art. 10. </w:t>
      </w:r>
      <w:r>
        <w:rPr>
          <w:rFonts w:ascii="Arial" w:hAnsi="Arial"/>
          <w:sz w:val="24"/>
        </w:rPr>
        <w:t>O Município poderá promover campanhas permanentes ou periódicas de arrecadação e instalar pontos de coleta em locais públicos ou privados, mediante autorização e observância das condições adequadas de recebimento e conservação.</w:t>
      </w:r>
    </w:p>
    <w:p>
      <w:pPr>
        <w:keepNext w:val="0"/>
        <w:spacing w:before="0" w:after="120" w:line="276" w:lineRule="auto"/>
        <w:ind w:firstLine="504"/>
        <w:jc w:val="both"/>
      </w:pPr>
      <w:r>
        <w:rPr>
          <w:rFonts w:ascii="Arial" w:hAnsi="Arial"/>
          <w:b w:val="0"/>
          <w:i w:val="0"/>
          <w:sz w:val="24"/>
        </w:rPr>
        <w:t>§ 1º Os pontos de coleta deverão divulgar, de forma clara, os produtos aceitos e recusados, as condições mínimas de embalagem e validade e os canais para obtenção de informações.</w:t>
      </w:r>
    </w:p>
    <w:p>
      <w:pPr>
        <w:keepNext w:val="0"/>
        <w:spacing w:before="0" w:after="120" w:line="276" w:lineRule="auto"/>
        <w:ind w:firstLine="504"/>
        <w:jc w:val="both"/>
      </w:pPr>
      <w:r>
        <w:rPr>
          <w:rFonts w:ascii="Arial" w:hAnsi="Arial"/>
          <w:b w:val="0"/>
          <w:i w:val="0"/>
          <w:sz w:val="24"/>
        </w:rPr>
        <w:t>§ 2º As campanhas poderão ser realizadas em parceria com estabelecimentos comerciais, clínicas veterinárias, escolas, universidades, condomínios, entidades de proteção animal e outros interessados.</w:t>
      </w:r>
    </w:p>
    <w:p>
      <w:pPr>
        <w:spacing w:after="120" w:line="276" w:lineRule="auto"/>
        <w:ind w:firstLine="504"/>
        <w:jc w:val="both"/>
      </w:pPr>
      <w:r>
        <w:rPr>
          <w:rFonts w:ascii="Arial" w:hAnsi="Arial"/>
          <w:b/>
          <w:sz w:val="24"/>
        </w:rPr>
        <w:t xml:space="preserve">Art. 11. </w:t>
      </w:r>
      <w:r>
        <w:rPr>
          <w:rFonts w:ascii="Arial" w:hAnsi="Arial"/>
          <w:sz w:val="24"/>
        </w:rPr>
        <w:t>Para execução desta Lei, o Poder Público poderá celebrar parcerias, acordos de cooperação, convênios, termos de colaboração ou de fomento e outros instrumentos admitidos pela legislação, inclusive para: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 - </w:t>
      </w:r>
      <w:r>
        <w:rPr>
          <w:rFonts w:ascii="Arial" w:hAnsi="Arial"/>
          <w:sz w:val="24"/>
        </w:rPr>
        <w:t>recebimento e transporte das doações;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II - </w:t>
      </w:r>
      <w:r>
        <w:rPr>
          <w:rFonts w:ascii="Arial" w:hAnsi="Arial"/>
          <w:sz w:val="24"/>
        </w:rPr>
        <w:t>disponibilização de espaços adequados para coleta e armazenamento;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III - </w:t>
      </w:r>
      <w:r>
        <w:rPr>
          <w:rFonts w:ascii="Arial" w:hAnsi="Arial"/>
          <w:sz w:val="24"/>
        </w:rPr>
        <w:t>realização de campanhas educativas e de arrecadação;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IV - </w:t>
      </w:r>
      <w:r>
        <w:rPr>
          <w:rFonts w:ascii="Arial" w:hAnsi="Arial"/>
          <w:sz w:val="24"/>
        </w:rPr>
        <w:t>apoio técnico veterinário, sanitário, nutricional, logístico ou administrativo;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V - </w:t>
      </w:r>
      <w:r>
        <w:rPr>
          <w:rFonts w:ascii="Arial" w:hAnsi="Arial"/>
          <w:sz w:val="24"/>
        </w:rPr>
        <w:t>destinação ambientalmente adequada dos produtos impróprios.</w:t>
      </w:r>
    </w:p>
    <w:p>
      <w:pPr>
        <w:keepNext w:val="0"/>
        <w:spacing w:before="0" w:after="120" w:line="276" w:lineRule="auto"/>
        <w:ind w:firstLine="504"/>
        <w:jc w:val="both"/>
      </w:pPr>
      <w:r>
        <w:rPr>
          <w:rFonts w:ascii="Arial" w:hAnsi="Arial"/>
          <w:b w:val="0"/>
          <w:i w:val="0"/>
          <w:sz w:val="24"/>
        </w:rPr>
        <w:t>Parágrafo único. As parcerias deverão observar a impessoalidade, a transparência, a prestação de contas e as demais exigências legais aplicáveis.</w:t>
      </w:r>
    </w:p>
    <w:p>
      <w:pPr>
        <w:spacing w:after="120" w:line="276" w:lineRule="auto"/>
        <w:ind w:firstLine="504"/>
        <w:jc w:val="both"/>
      </w:pPr>
      <w:r>
        <w:rPr>
          <w:rFonts w:ascii="Arial" w:hAnsi="Arial"/>
          <w:b/>
          <w:sz w:val="24"/>
        </w:rPr>
        <w:t xml:space="preserve">Art. 12. </w:t>
      </w:r>
      <w:r>
        <w:rPr>
          <w:rFonts w:ascii="Arial" w:hAnsi="Arial"/>
          <w:sz w:val="24"/>
        </w:rPr>
        <w:t>O órgão responsável pela execução divulgará, periodicamente, informações consolidadas sobre o Banco Municipal de Ração, incluindo, quando disponíveis: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 - </w:t>
      </w:r>
      <w:r>
        <w:rPr>
          <w:rFonts w:ascii="Arial" w:hAnsi="Arial"/>
          <w:sz w:val="24"/>
        </w:rPr>
        <w:t>quantidade de doações recebidas e distribuídas;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II - </w:t>
      </w:r>
      <w:r>
        <w:rPr>
          <w:rFonts w:ascii="Arial" w:hAnsi="Arial"/>
          <w:sz w:val="24"/>
        </w:rPr>
        <w:t>número de beneficiários atendidos;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III - </w:t>
      </w:r>
      <w:r>
        <w:rPr>
          <w:rFonts w:ascii="Arial" w:hAnsi="Arial"/>
          <w:sz w:val="24"/>
        </w:rPr>
        <w:t>quantidade estimada de animais alcançados;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IV - </w:t>
      </w:r>
      <w:r>
        <w:rPr>
          <w:rFonts w:ascii="Arial" w:hAnsi="Arial"/>
          <w:sz w:val="24"/>
        </w:rPr>
        <w:t>perdas e descartes registrados;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V - </w:t>
      </w:r>
      <w:r>
        <w:rPr>
          <w:rFonts w:ascii="Arial" w:hAnsi="Arial"/>
          <w:sz w:val="24"/>
        </w:rPr>
        <w:t>campanhas e parcerias realizadas;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VI - </w:t>
      </w:r>
      <w:r>
        <w:rPr>
          <w:rFonts w:ascii="Arial" w:hAnsi="Arial"/>
          <w:sz w:val="24"/>
        </w:rPr>
        <w:t>saldo ou necessidade de doações, sem exposição de dados pessoais dos beneficiários.</w:t>
      </w:r>
    </w:p>
    <w:p>
      <w:pPr>
        <w:keepNext w:val="0"/>
        <w:spacing w:before="0" w:after="120" w:line="276" w:lineRule="auto"/>
        <w:ind w:firstLine="504"/>
        <w:jc w:val="both"/>
      </w:pPr>
      <w:r>
        <w:rPr>
          <w:rFonts w:ascii="Arial" w:hAnsi="Arial"/>
          <w:b w:val="0"/>
          <w:i w:val="0"/>
          <w:sz w:val="24"/>
        </w:rPr>
        <w:t>Parágrafo único. A divulgação observará a proteção de dados pessoais e não poderá expor informações que permitam constrangimento, discriminação ou identificação indevida de pessoas em situação de vulnerabilidade.</w:t>
      </w:r>
    </w:p>
    <w:p>
      <w:pPr>
        <w:spacing w:after="120" w:line="276" w:lineRule="auto"/>
        <w:ind w:firstLine="504"/>
        <w:jc w:val="both"/>
      </w:pPr>
      <w:r>
        <w:rPr>
          <w:rFonts w:ascii="Arial" w:hAnsi="Arial"/>
          <w:b/>
          <w:sz w:val="24"/>
        </w:rPr>
        <w:t xml:space="preserve">Art. 13. </w:t>
      </w:r>
      <w:r>
        <w:rPr>
          <w:rFonts w:ascii="Arial" w:hAnsi="Arial"/>
          <w:sz w:val="24"/>
        </w:rPr>
        <w:t>O beneficiário que prestar informação falsa, desviar a finalidade da doação, comercializar a ração ou praticar outra irregularidade ficará sujeito, assegurados o contraditório e a ampla defesa: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 - </w:t>
      </w:r>
      <w:r>
        <w:rPr>
          <w:rFonts w:ascii="Arial" w:hAnsi="Arial"/>
          <w:sz w:val="24"/>
        </w:rPr>
        <w:t>à suspensão ou exclusão do cadastro;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II - </w:t>
      </w:r>
      <w:r>
        <w:rPr>
          <w:rFonts w:ascii="Arial" w:hAnsi="Arial"/>
          <w:sz w:val="24"/>
        </w:rPr>
        <w:t>à restituição do produto ou do valor correspondente, quando cabível;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III - </w:t>
      </w:r>
      <w:r>
        <w:rPr>
          <w:rFonts w:ascii="Arial" w:hAnsi="Arial"/>
          <w:sz w:val="24"/>
        </w:rPr>
        <w:t>ao impedimento temporário de novo cadastro, na forma do regulamento;</w:t>
      </w:r>
    </w:p>
    <w:p>
      <w:pPr>
        <w:spacing w:after="80" w:line="276" w:lineRule="auto"/>
        <w:ind w:left="504" w:hanging="360"/>
        <w:jc w:val="both"/>
      </w:pPr>
      <w:r>
        <w:rPr>
          <w:rFonts w:ascii="Arial" w:hAnsi="Arial"/>
          <w:sz w:val="24"/>
        </w:rPr>
        <w:t xml:space="preserve">IV - </w:t>
      </w:r>
      <w:r>
        <w:rPr>
          <w:rFonts w:ascii="Arial" w:hAnsi="Arial"/>
          <w:sz w:val="24"/>
        </w:rPr>
        <w:t>às responsabilidades civis, administrativas e penais previstas na legislação.</w:t>
      </w:r>
    </w:p>
    <w:p>
      <w:pPr>
        <w:keepNext w:val="0"/>
        <w:spacing w:before="0" w:after="120" w:line="276" w:lineRule="auto"/>
        <w:ind w:firstLine="504"/>
        <w:jc w:val="both"/>
      </w:pPr>
      <w:r>
        <w:rPr>
          <w:rFonts w:ascii="Arial" w:hAnsi="Arial"/>
          <w:b w:val="0"/>
          <w:i w:val="0"/>
          <w:sz w:val="24"/>
        </w:rPr>
        <w:t>Parágrafo único. A penalidade será aplicada de forma proporcional à gravidade da conduta, à reincidência e ao prejuízo causado.</w:t>
      </w:r>
    </w:p>
    <w:p>
      <w:pPr>
        <w:spacing w:after="120" w:line="276" w:lineRule="auto"/>
        <w:ind w:firstLine="504"/>
        <w:jc w:val="both"/>
      </w:pPr>
      <w:r>
        <w:rPr>
          <w:rFonts w:ascii="Arial" w:hAnsi="Arial"/>
          <w:b/>
          <w:sz w:val="24"/>
        </w:rPr>
        <w:t xml:space="preserve">Art. 14. </w:t>
      </w:r>
      <w:r>
        <w:rPr>
          <w:rFonts w:ascii="Arial" w:hAnsi="Arial"/>
          <w:sz w:val="24"/>
        </w:rPr>
        <w:t>A implementação do Banco Municipal de Ração deverá utilizar, prioritariamente, os recursos humanos, materiais e espaços já disponíveis na Administração Pública, sem criação automática de cargos, órgãos ou estruturas administrativas.</w:t>
      </w:r>
    </w:p>
    <w:p>
      <w:pPr>
        <w:keepNext w:val="0"/>
        <w:spacing w:before="0" w:after="120" w:line="276" w:lineRule="auto"/>
        <w:ind w:firstLine="504"/>
        <w:jc w:val="both"/>
      </w:pPr>
      <w:r>
        <w:rPr>
          <w:rFonts w:ascii="Arial" w:hAnsi="Arial"/>
          <w:b w:val="0"/>
          <w:i w:val="0"/>
          <w:sz w:val="24"/>
        </w:rPr>
        <w:t>§ 1º A instituição do Banco Municipal de Ração não obriga o Município a adquirir ração com recursos próprios, sem prejuízo de aquisições ou contratações regularmente autorizadas pelo orçamento e pela legislação aplicável.</w:t>
      </w:r>
    </w:p>
    <w:p>
      <w:pPr>
        <w:keepNext w:val="0"/>
        <w:spacing w:before="0" w:after="120" w:line="276" w:lineRule="auto"/>
        <w:ind w:firstLine="504"/>
        <w:jc w:val="both"/>
      </w:pPr>
      <w:r>
        <w:rPr>
          <w:rFonts w:ascii="Arial" w:hAnsi="Arial"/>
          <w:b w:val="0"/>
          <w:i w:val="0"/>
          <w:sz w:val="24"/>
        </w:rPr>
        <w:t>§ 2º Eventuais despesas decorrentes da execução desta Lei correrão por dotações orçamentárias próprias, observadas a disponibilidade financeira, a legislação fiscal e as regras de planejamento e contratação pública.</w:t>
      </w:r>
    </w:p>
    <w:p>
      <w:pPr>
        <w:spacing w:after="120" w:line="276" w:lineRule="auto"/>
        <w:ind w:firstLine="504"/>
        <w:jc w:val="both"/>
      </w:pPr>
      <w:r>
        <w:rPr>
          <w:rFonts w:ascii="Arial" w:hAnsi="Arial"/>
          <w:b/>
          <w:sz w:val="24"/>
        </w:rPr>
        <w:t xml:space="preserve">Art. 15. </w:t>
      </w:r>
      <w:r>
        <w:rPr>
          <w:rFonts w:ascii="Arial" w:hAnsi="Arial"/>
          <w:sz w:val="24"/>
        </w:rPr>
        <w:t>O Poder Executivo regulamentará esta Lei no que couber, especialmente quanto aos procedimentos de cadastro, recebimento, inspeção, armazenamento, distribuição, controle de estoque, campanhas, parcerias e fiscalização.</w:t>
      </w:r>
    </w:p>
    <w:p>
      <w:pPr>
        <w:spacing w:after="120" w:line="276" w:lineRule="auto"/>
        <w:ind w:firstLine="504"/>
        <w:jc w:val="both"/>
      </w:pPr>
      <w:r>
        <w:rPr>
          <w:rFonts w:ascii="Arial" w:hAnsi="Arial"/>
          <w:b/>
          <w:sz w:val="24"/>
        </w:rPr>
        <w:t xml:space="preserve">Art. 16. </w:t>
      </w:r>
      <w:r>
        <w:rPr>
          <w:rFonts w:ascii="Arial" w:hAnsi="Arial"/>
          <w:sz w:val="24"/>
        </w:rPr>
        <w:t>Esta Lei entra em vigor na data de sua publicação.</w:t>
      </w:r>
    </w:p>
    <w:p>
      <w:pPr>
        <w:keepNext/>
        <w:spacing w:before="200" w:after="200" w:line="276" w:lineRule="auto"/>
        <w:jc w:val="center"/>
      </w:pPr>
      <w:r>
        <w:rPr>
          <w:rFonts w:ascii="Arial" w:hAnsi="Arial"/>
          <w:b/>
          <w:i w:val="0"/>
          <w:sz w:val="28"/>
        </w:rPr>
        <w:t>JUSTIFICATIVA</w:t>
      </w:r>
    </w:p>
    <w:p>
      <w:pPr>
        <w:keepNext w:val="0"/>
        <w:spacing w:before="0" w:after="120" w:line="276" w:lineRule="auto"/>
        <w:ind w:firstLine="504"/>
        <w:jc w:val="both"/>
      </w:pPr>
      <w:r>
        <w:rPr>
          <w:rFonts w:ascii="Arial" w:hAnsi="Arial"/>
          <w:b w:val="0"/>
          <w:i w:val="0"/>
          <w:sz w:val="24"/>
        </w:rPr>
        <w:t>O presente Projeto de Lei propõe a instituição do Banco Municipal de Ração em [NOME DA CIDADE], com a finalidade de organizar uma rede permanente de solidariedade destinada ao recebimento e à distribuição segura de alimentos para animais em situação de vulnerabilidade. A medida busca apoiar protetores independentes, entidades de proteção animal, lares temporários e famílias de baixa renda que assumem a responsabilidade cotidiana pela alimentação de cães, gatos e outros animais domésticos.</w:t>
      </w:r>
    </w:p>
    <w:p>
      <w:pPr>
        <w:keepNext w:val="0"/>
        <w:spacing w:before="0" w:after="120" w:line="276" w:lineRule="auto"/>
        <w:ind w:firstLine="504"/>
        <w:jc w:val="both"/>
      </w:pPr>
      <w:r>
        <w:rPr>
          <w:rFonts w:ascii="Arial" w:hAnsi="Arial"/>
          <w:b w:val="0"/>
          <w:i w:val="0"/>
          <w:sz w:val="24"/>
        </w:rPr>
        <w:t>A falta de alimento adequado pode agravar quadros de abandono, doença, maus-tratos e sofrimento animal. Muitos protetores e organizações atuam com recursos próprios e dependem de campanhas esporádicas para atender animais resgatados ou mantidos temporariamente até a adoção. Da mesma forma, famílias em dificuldade econômica podem enfrentar períodos em que a aquisição de ração compromete a manutenção responsável de seus animais.</w:t>
      </w:r>
    </w:p>
    <w:p>
      <w:pPr>
        <w:keepNext w:val="0"/>
        <w:spacing w:before="0" w:after="120" w:line="276" w:lineRule="auto"/>
        <w:ind w:firstLine="504"/>
        <w:jc w:val="both"/>
      </w:pPr>
      <w:r>
        <w:rPr>
          <w:rFonts w:ascii="Arial" w:hAnsi="Arial"/>
          <w:b w:val="0"/>
          <w:i w:val="0"/>
          <w:sz w:val="24"/>
        </w:rPr>
        <w:t>O Banco Municipal de Ração cria um mecanismo público de articulação, recebendo doações voluntárias da comunidade, do comércio, de fabricantes, de organizações e de parceiros. O projeto não parte da obrigatoriedade de compra direta de ração pelo Município. Sua lógica principal é aproveitar, com controle e transparência, doações de produtos seguros e dentro da validade, ampliando a capacidade de atendimento sem dispensar planejamento e responsabilidade administrativa.</w:t>
      </w:r>
    </w:p>
    <w:p>
      <w:pPr>
        <w:keepNext w:val="0"/>
        <w:spacing w:before="0" w:after="120" w:line="276" w:lineRule="auto"/>
        <w:ind w:firstLine="504"/>
        <w:jc w:val="both"/>
      </w:pPr>
      <w:r>
        <w:rPr>
          <w:rFonts w:ascii="Arial" w:hAnsi="Arial"/>
          <w:b w:val="0"/>
          <w:i w:val="0"/>
          <w:sz w:val="24"/>
        </w:rPr>
        <w:t>A proposta estabelece cautelas importantes para proteger a saúde dos animais. Somente poderão ser recebidos produtos próprios para consumo, identificados, íntegros e dentro do prazo de validade. Rações vencidas, contaminadas, abertas sem segurança, sem origem conhecida ou submetidas a condições inadequadas de armazenamento serão recusadas e destinadas de forma ambientalmente correta.</w:t>
      </w:r>
    </w:p>
    <w:p>
      <w:pPr>
        <w:keepNext w:val="0"/>
        <w:spacing w:before="0" w:after="120" w:line="276" w:lineRule="auto"/>
        <w:ind w:firstLine="504"/>
        <w:jc w:val="both"/>
      </w:pPr>
      <w:r>
        <w:rPr>
          <w:rFonts w:ascii="Arial" w:hAnsi="Arial"/>
          <w:b w:val="0"/>
          <w:i w:val="0"/>
          <w:sz w:val="24"/>
        </w:rPr>
        <w:t>O texto também prevê cadastro dos beneficiários, critérios de prioridade, registro das entregas, proibição de comercialização, controle de estoque e divulgação de resultados. Essas medidas reduzem o risco de desvio, asseguram tratamento impessoal e permitem que a sociedade acompanhe as doações recebidas e sua destinação.</w:t>
      </w:r>
    </w:p>
    <w:p>
      <w:pPr>
        <w:keepNext w:val="0"/>
        <w:spacing w:before="0" w:after="120" w:line="276" w:lineRule="auto"/>
        <w:ind w:firstLine="504"/>
        <w:jc w:val="both"/>
      </w:pPr>
      <w:r>
        <w:rPr>
          <w:rFonts w:ascii="Arial" w:hAnsi="Arial"/>
          <w:b w:val="0"/>
          <w:i w:val="0"/>
          <w:sz w:val="24"/>
        </w:rPr>
        <w:t>A Constituição Federal reconhece a competência comum dos entes federativos para proteger o meio ambiente e preservar a fauna, atribui aos Municípios competência para legislar sobre assuntos de interesse local e estabelece o dever do Poder Público e da coletividade de proteger os animais contra práticas cruéis. A legislação nacional também orienta políticas de proteção, manejo ético e bem-estar de cães e gatos.</w:t>
      </w:r>
    </w:p>
    <w:p>
      <w:pPr>
        <w:keepNext w:val="0"/>
        <w:spacing w:before="0" w:after="120" w:line="276" w:lineRule="auto"/>
        <w:ind w:firstLine="504"/>
        <w:jc w:val="both"/>
      </w:pPr>
      <w:r>
        <w:rPr>
          <w:rFonts w:ascii="Arial" w:hAnsi="Arial"/>
          <w:b w:val="0"/>
          <w:i w:val="0"/>
          <w:sz w:val="24"/>
        </w:rPr>
        <w:t>A minuta foi estruturada para evitar a criação automática de novos cargos, órgãos ou unidades administrativas. A execução poderá utilizar a estrutura já existente e parcerias legalmente admitidas. Ainda assim, a versão final deverá ser confrontada com a Lei Orgânica Municipal, o Regimento Interno, as atribuições dos órgãos locais e as normas sanitárias, ambientais, de proteção de dados, orçamento e contratação pública.</w:t>
      </w:r>
    </w:p>
    <w:p>
      <w:pPr>
        <w:keepNext w:val="0"/>
        <w:spacing w:before="0" w:after="120" w:line="276" w:lineRule="auto"/>
        <w:ind w:firstLine="504"/>
        <w:jc w:val="both"/>
      </w:pPr>
      <w:r>
        <w:rPr>
          <w:rFonts w:ascii="Arial" w:hAnsi="Arial"/>
          <w:b w:val="0"/>
          <w:i w:val="0"/>
          <w:sz w:val="24"/>
        </w:rPr>
        <w:t>Diante do relevante interesse social, ambiental e humanitário da matéria, submeto o presente Projeto de Lei à apreciação dos nobres Vereadores, solicitando o apoio necessário à sua aprovação.</w:t>
      </w:r>
    </w:p>
    <w:p>
      <w:pPr>
        <w:keepNext w:val="0"/>
        <w:spacing w:before="240" w:after="320" w:line="276" w:lineRule="auto"/>
        <w:jc w:val="center"/>
      </w:pPr>
      <w:r>
        <w:rPr>
          <w:rFonts w:ascii="Arial" w:hAnsi="Arial"/>
          <w:b w:val="0"/>
          <w:i w:val="0"/>
          <w:sz w:val="24"/>
        </w:rPr>
        <w:t>[NOME DA CIDADE] - [ESTADO], [DATA].</w:t>
      </w:r>
    </w:p>
    <w:p>
      <w:pPr>
        <w:keepNext w:val="0"/>
        <w:spacing w:before="0" w:after="200" w:line="276" w:lineRule="auto"/>
        <w:jc w:val="center"/>
      </w:pPr>
      <w:r>
        <w:rPr>
          <w:rFonts w:ascii="Arial" w:hAnsi="Arial"/>
          <w:b w:val="0"/>
          <w:i w:val="0"/>
          <w:sz w:val="24"/>
        </w:rPr>
        <w:t>__________________________________________</w:t>
        <w:br/>
        <w:t>[NOME DO(A) VEREADOR(A)]</w:t>
        <w:br/>
        <w:t>Vereador(a)</w:t>
      </w:r>
    </w:p>
    <w:p>
      <w:r>
        <w:br w:type="page"/>
      </w:r>
    </w:p>
    <w:p>
      <w:pPr>
        <w:keepNext/>
        <w:spacing w:before="200" w:after="200" w:line="276" w:lineRule="auto"/>
        <w:jc w:val="center"/>
      </w:pPr>
      <w:r>
        <w:rPr>
          <w:rFonts w:ascii="Arial" w:hAnsi="Arial"/>
          <w:b/>
          <w:i w:val="0"/>
          <w:sz w:val="28"/>
        </w:rPr>
        <w:t>NOTAS TÉCNICAS PARA ADAPTAÇÃO ANTES DO PROTOCOLO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605"/>
      </w:tblGrid>
      <w:tr>
        <w:tc>
          <w:tcPr>
            <w:tcW w:type="dxa" w:w="9605"/>
            <w:vAlign w:val="center"/>
            <w:shd w:fill="FFF2CC"/>
            <w:tcBorders>
              <w:top w:val="single" w:sz="8" w:space="0" w:color="B7C9D6"/>
              <w:left w:val="single" w:sz="8" w:space="0" w:color="B7C9D6"/>
              <w:bottom w:val="single" w:sz="8" w:space="0" w:color="B7C9D6"/>
              <w:right w:val="single" w:sz="8" w:space="0" w:color="B7C9D6"/>
            </w:tcBorders>
          </w:tcPr>
          <w:p>
            <w:pPr>
              <w:spacing w:before="60" w:after="60" w:line="264" w:lineRule="auto"/>
              <w:jc w:val="both"/>
            </w:pPr>
            <w:r>
              <w:rPr>
                <w:rFonts w:ascii="Arial" w:hAnsi="Arial"/>
                <w:b/>
                <w:sz w:val="20"/>
              </w:rPr>
              <w:t xml:space="preserve">AVISO: </w:t>
            </w:r>
            <w:r>
              <w:rPr>
                <w:rFonts w:ascii="Arial" w:hAnsi="Arial"/>
                <w:sz w:val="20"/>
              </w:rPr>
              <w:t>esta seção integra o modelo editável para orientar a personalização. Recomenda-se removê-la da versão formalmente protocolada, mantendo apenas o Projeto de Lei e a Justificativa.</w:t>
            </w:r>
          </w:p>
        </w:tc>
      </w:tr>
    </w:tbl>
    <w:p>
      <w:pPr>
        <w:spacing w:after="0"/>
      </w:pPr>
    </w:p>
    <w:p>
      <w:pPr>
        <w:spacing w:after="120" w:line="276" w:lineRule="auto"/>
        <w:ind w:firstLine="0"/>
        <w:jc w:val="both"/>
      </w:pPr>
      <w:r>
        <w:rPr>
          <w:rFonts w:ascii="Arial" w:hAnsi="Arial"/>
          <w:b/>
          <w:sz w:val="22"/>
        </w:rPr>
        <w:t xml:space="preserve">1. Dados institucionais: </w:t>
      </w:r>
      <w:r>
        <w:rPr>
          <w:rFonts w:ascii="Arial" w:hAnsi="Arial"/>
          <w:sz w:val="22"/>
        </w:rPr>
        <w:t>Substitua todos os campos entre colchetes: Estado, Município, número e ano do projeto, nome do(a) autor(a), data e demais identificações.</w:t>
      </w:r>
    </w:p>
    <w:p>
      <w:pPr>
        <w:spacing w:after="120" w:line="276" w:lineRule="auto"/>
        <w:ind w:firstLine="0"/>
        <w:jc w:val="both"/>
      </w:pPr>
      <w:r>
        <w:rPr>
          <w:rFonts w:ascii="Arial" w:hAnsi="Arial"/>
          <w:b/>
          <w:sz w:val="22"/>
        </w:rPr>
        <w:t xml:space="preserve">2. Nome e abrangência: </w:t>
      </w:r>
      <w:r>
        <w:rPr>
          <w:rFonts w:ascii="Arial" w:hAnsi="Arial"/>
          <w:sz w:val="22"/>
        </w:rPr>
        <w:t>Confirme se o Município já possui banco de ração, programa de proteção animal, cadastro de protetores, abrigo público ou política semelhante. Evite sobreposição e, quando conveniente, altere a legislação já existente.</w:t>
      </w:r>
    </w:p>
    <w:p>
      <w:pPr>
        <w:spacing w:after="120" w:line="276" w:lineRule="auto"/>
        <w:ind w:firstLine="0"/>
        <w:jc w:val="both"/>
      </w:pPr>
      <w:r>
        <w:rPr>
          <w:rFonts w:ascii="Arial" w:hAnsi="Arial"/>
          <w:b/>
          <w:sz w:val="22"/>
        </w:rPr>
        <w:t xml:space="preserve">3. Iniciativa legislativa: </w:t>
      </w:r>
      <w:r>
        <w:rPr>
          <w:rFonts w:ascii="Arial" w:hAnsi="Arial"/>
          <w:sz w:val="22"/>
        </w:rPr>
        <w:t>Verifique a Lei Orgânica e a jurisprudência do Tribunal de Justiça do Estado. O texto foi redigido sem criar cargos, secretarias ou estrutura administrativa específica. O Supremo Tribunal Federal admite leis parlamentares que instituam políticas públicas quando não tratam da estrutura ou das atribuições reservadas dos órgãos nem do regime jurídico dos servidores, mas a análise local continua necessária.</w:t>
      </w:r>
    </w:p>
    <w:p>
      <w:pPr>
        <w:spacing w:after="120" w:line="276" w:lineRule="auto"/>
        <w:ind w:firstLine="0"/>
        <w:jc w:val="both"/>
      </w:pPr>
      <w:r>
        <w:rPr>
          <w:rFonts w:ascii="Arial" w:hAnsi="Arial"/>
          <w:b/>
          <w:sz w:val="22"/>
        </w:rPr>
        <w:t xml:space="preserve">4. Órgão executor: </w:t>
      </w:r>
      <w:r>
        <w:rPr>
          <w:rFonts w:ascii="Arial" w:hAnsi="Arial"/>
          <w:sz w:val="22"/>
        </w:rPr>
        <w:t>Identifique qual unidade municipal já possui competência relacionada à proteção animal, meio ambiente, vigilância sanitária ou assistência social. Se for necessário indicar órgão específico, ajuste o texto com a assessoria jurídica para não invadir matéria de organização administrativa.</w:t>
      </w:r>
    </w:p>
    <w:p>
      <w:pPr>
        <w:spacing w:after="120" w:line="276" w:lineRule="auto"/>
        <w:ind w:firstLine="0"/>
        <w:jc w:val="both"/>
      </w:pPr>
      <w:r>
        <w:rPr>
          <w:rFonts w:ascii="Arial" w:hAnsi="Arial"/>
          <w:b/>
          <w:sz w:val="22"/>
        </w:rPr>
        <w:t xml:space="preserve">5. Produtos aceitos: </w:t>
      </w:r>
      <w:r>
        <w:rPr>
          <w:rFonts w:ascii="Arial" w:hAnsi="Arial"/>
          <w:sz w:val="22"/>
        </w:rPr>
        <w:t>Defina, com apoio veterinário e sanitário, quais tipos de ração serão recebidos, o prazo mínimo de validade, as condições de embalagem e os procedimentos para produtos destinados a animais com necessidades especiais.</w:t>
      </w:r>
    </w:p>
    <w:p>
      <w:pPr>
        <w:spacing w:after="120" w:line="276" w:lineRule="auto"/>
        <w:ind w:firstLine="0"/>
        <w:jc w:val="both"/>
      </w:pPr>
      <w:r>
        <w:rPr>
          <w:rFonts w:ascii="Arial" w:hAnsi="Arial"/>
          <w:b/>
          <w:sz w:val="22"/>
        </w:rPr>
        <w:t xml:space="preserve">6. Fracionamento: </w:t>
      </w:r>
      <w:r>
        <w:rPr>
          <w:rFonts w:ascii="Arial" w:hAnsi="Arial"/>
          <w:sz w:val="22"/>
        </w:rPr>
        <w:t>A solução mais segura é distribuir embalagens originais e lacradas. Caso o Município pretenda fracionar ou reembalar ração, será indispensável verificar as exigências técnicas e regulatórias aplicáveis, assegurar rastreabilidade, higiene, identificação e orientação de uso.</w:t>
      </w:r>
    </w:p>
    <w:p>
      <w:pPr>
        <w:spacing w:after="120" w:line="276" w:lineRule="auto"/>
        <w:ind w:firstLine="0"/>
        <w:jc w:val="both"/>
      </w:pPr>
      <w:r>
        <w:rPr>
          <w:rFonts w:ascii="Arial" w:hAnsi="Arial"/>
          <w:b/>
          <w:sz w:val="22"/>
        </w:rPr>
        <w:t xml:space="preserve">7. Armazenamento: </w:t>
      </w:r>
      <w:r>
        <w:rPr>
          <w:rFonts w:ascii="Arial" w:hAnsi="Arial"/>
          <w:sz w:val="22"/>
        </w:rPr>
        <w:t>Escolha local limpo, seco, ventilado, protegido de pragas e com controle de entrada, validade, saída e descarte. Adote procedimento de inspeção e de destinação ambientalmente adequada dos produtos impróprios.</w:t>
      </w:r>
    </w:p>
    <w:p>
      <w:pPr>
        <w:spacing w:after="120" w:line="276" w:lineRule="auto"/>
        <w:ind w:firstLine="0"/>
        <w:jc w:val="both"/>
      </w:pPr>
      <w:r>
        <w:rPr>
          <w:rFonts w:ascii="Arial" w:hAnsi="Arial"/>
          <w:b/>
          <w:sz w:val="22"/>
        </w:rPr>
        <w:t xml:space="preserve">8. Beneficiários e prioridades: </w:t>
      </w:r>
      <w:r>
        <w:rPr>
          <w:rFonts w:ascii="Arial" w:hAnsi="Arial"/>
          <w:sz w:val="22"/>
        </w:rPr>
        <w:t>Ajuste os critérios de cadastro e prioridade à realidade municipal. Evite exigências excessivas e preserve mecanismos de verificação, impessoalidade e prevenção de revenda.</w:t>
      </w:r>
    </w:p>
    <w:p>
      <w:pPr>
        <w:spacing w:after="120" w:line="276" w:lineRule="auto"/>
        <w:ind w:firstLine="0"/>
        <w:jc w:val="both"/>
      </w:pPr>
      <w:r>
        <w:rPr>
          <w:rFonts w:ascii="Arial" w:hAnsi="Arial"/>
          <w:b/>
          <w:sz w:val="22"/>
        </w:rPr>
        <w:t xml:space="preserve">9. Proteção de dados: </w:t>
      </w:r>
      <w:r>
        <w:rPr>
          <w:rFonts w:ascii="Arial" w:hAnsi="Arial"/>
          <w:sz w:val="22"/>
        </w:rPr>
        <w:t>Colete apenas os dados necessários e defina quem terá acesso, por quanto tempo serão conservados e como serão protegidos. Não divulgue nomes, endereços ou situação socioeconômica dos beneficiários.</w:t>
      </w:r>
    </w:p>
    <w:p>
      <w:pPr>
        <w:spacing w:after="120" w:line="276" w:lineRule="auto"/>
        <w:ind w:firstLine="0"/>
        <w:jc w:val="both"/>
      </w:pPr>
      <w:r>
        <w:rPr>
          <w:rFonts w:ascii="Arial" w:hAnsi="Arial"/>
          <w:b/>
          <w:sz w:val="22"/>
        </w:rPr>
        <w:t xml:space="preserve">10. Impacto administrativo e orçamentário: </w:t>
      </w:r>
      <w:r>
        <w:rPr>
          <w:rFonts w:ascii="Arial" w:hAnsi="Arial"/>
          <w:sz w:val="22"/>
        </w:rPr>
        <w:t>Embora o programa seja baseado principalmente em doações, avalie custos de espaço, transporte, pessoal, equipamentos, controle de pragas, descarte, comunicação e tecnologia. Verifique a compatibilidade orçamentária e fiscal.</w:t>
      </w:r>
    </w:p>
    <w:p>
      <w:pPr>
        <w:spacing w:after="120" w:line="276" w:lineRule="auto"/>
        <w:ind w:firstLine="0"/>
        <w:jc w:val="both"/>
      </w:pPr>
      <w:r>
        <w:rPr>
          <w:rFonts w:ascii="Arial" w:hAnsi="Arial"/>
          <w:b/>
          <w:sz w:val="22"/>
        </w:rPr>
        <w:t xml:space="preserve">11. Parcerias: </w:t>
      </w:r>
      <w:r>
        <w:rPr>
          <w:rFonts w:ascii="Arial" w:hAnsi="Arial"/>
          <w:sz w:val="22"/>
        </w:rPr>
        <w:t>Caso sejam celebrados instrumentos com organizações da sociedade civil ou empresas, observe a legislação aplicável, a seleção impessoal quando exigida, a prestação de contas e a transparência.</w:t>
      </w:r>
    </w:p>
    <w:p>
      <w:pPr>
        <w:spacing w:after="120" w:line="276" w:lineRule="auto"/>
        <w:ind w:firstLine="0"/>
        <w:jc w:val="both"/>
      </w:pPr>
      <w:r>
        <w:rPr>
          <w:rFonts w:ascii="Arial" w:hAnsi="Arial"/>
          <w:b/>
          <w:sz w:val="22"/>
        </w:rPr>
        <w:t xml:space="preserve">12. Revisão final: </w:t>
      </w:r>
      <w:r>
        <w:rPr>
          <w:rFonts w:ascii="Arial" w:hAnsi="Arial"/>
          <w:sz w:val="22"/>
        </w:rPr>
        <w:t>Submeta a minuta à Procuradoria ou assessoria jurídica, ao órgão de proteção animal, à vigilância sanitária, ao setor de orçamento e, quando disponível, a médico-veterinário ou profissional habilitado. Este modelo não substitui parecer jurídico ou análise técnica local.</w:t>
      </w:r>
    </w:p>
    <w:p>
      <w:pPr>
        <w:keepNext/>
        <w:spacing w:before="200" w:after="200" w:line="276" w:lineRule="auto"/>
        <w:jc w:val="center"/>
      </w:pPr>
      <w:r>
        <w:rPr>
          <w:rFonts w:ascii="Arial" w:hAnsi="Arial"/>
          <w:b/>
          <w:i w:val="0"/>
          <w:sz w:val="28"/>
        </w:rPr>
        <w:t>BASE JURÍDICA DE REFERÊNCIA</w:t>
      </w:r>
    </w:p>
    <w:p>
      <w:pPr>
        <w:keepNext w:val="0"/>
        <w:spacing w:before="0" w:after="100" w:line="276" w:lineRule="auto"/>
        <w:ind w:firstLine="0"/>
        <w:jc w:val="both"/>
      </w:pPr>
      <w:r>
        <w:rPr>
          <w:rFonts w:ascii="Arial" w:hAnsi="Arial"/>
          <w:b w:val="0"/>
          <w:i w:val="0"/>
          <w:sz w:val="22"/>
        </w:rPr>
        <w:t>• Constituição Federal: arts. 23, incisos VI e VII; 30, incisos I e II; e 225, caput e § 1º, inciso VII.</w:t>
      </w:r>
    </w:p>
    <w:p>
      <w:pPr>
        <w:keepNext w:val="0"/>
        <w:spacing w:before="0" w:after="100" w:line="276" w:lineRule="auto"/>
        <w:ind w:firstLine="0"/>
        <w:jc w:val="both"/>
      </w:pPr>
      <w:r>
        <w:rPr>
          <w:rFonts w:ascii="Arial" w:hAnsi="Arial"/>
          <w:b w:val="0"/>
          <w:i w:val="0"/>
          <w:sz w:val="22"/>
        </w:rPr>
        <w:t>• Lei Federal nº 9.605/1998: proteção penal contra maus-tratos a animais.</w:t>
      </w:r>
    </w:p>
    <w:p>
      <w:pPr>
        <w:keepNext w:val="0"/>
        <w:spacing w:before="0" w:after="100" w:line="276" w:lineRule="auto"/>
        <w:ind w:firstLine="0"/>
        <w:jc w:val="both"/>
      </w:pPr>
      <w:r>
        <w:rPr>
          <w:rFonts w:ascii="Arial" w:hAnsi="Arial"/>
          <w:b w:val="0"/>
          <w:i w:val="0"/>
          <w:sz w:val="22"/>
        </w:rPr>
        <w:t>• Lei Federal nº 13.426/2017: política de controle da natalidade de cães e gatos e ações de conscientização.</w:t>
      </w:r>
    </w:p>
    <w:p>
      <w:pPr>
        <w:keepNext w:val="0"/>
        <w:spacing w:before="0" w:after="100" w:line="276" w:lineRule="auto"/>
        <w:ind w:firstLine="0"/>
        <w:jc w:val="both"/>
      </w:pPr>
      <w:r>
        <w:rPr>
          <w:rFonts w:ascii="Arial" w:hAnsi="Arial"/>
          <w:b w:val="0"/>
          <w:i w:val="0"/>
          <w:sz w:val="22"/>
        </w:rPr>
        <w:t>• Decreto Federal nº 12.439/2025: Programa Nacional de Proteção e Manejo Populacional Ético de Cães e Gatos.</w:t>
      </w:r>
    </w:p>
    <w:p>
      <w:pPr>
        <w:keepNext w:val="0"/>
        <w:spacing w:before="0" w:after="100" w:line="276" w:lineRule="auto"/>
        <w:ind w:firstLine="0"/>
        <w:jc w:val="both"/>
      </w:pPr>
      <w:r>
        <w:rPr>
          <w:rFonts w:ascii="Arial" w:hAnsi="Arial"/>
          <w:b w:val="0"/>
          <w:i w:val="0"/>
          <w:sz w:val="22"/>
        </w:rPr>
        <w:t>• Decreto Federal nº 12.031/2024 e normas do Ministério da Agricultura e Pecuária: qualidade, inocuidade, identificação, armazenamento e segurança dos produtos destinados à alimentação animal.</w:t>
      </w:r>
    </w:p>
    <w:p>
      <w:pPr>
        <w:keepNext w:val="0"/>
        <w:spacing w:before="0" w:after="100" w:line="276" w:lineRule="auto"/>
        <w:ind w:firstLine="0"/>
        <w:jc w:val="both"/>
      </w:pPr>
      <w:r>
        <w:rPr>
          <w:rFonts w:ascii="Arial" w:hAnsi="Arial"/>
          <w:b w:val="0"/>
          <w:i w:val="0"/>
          <w:sz w:val="22"/>
        </w:rPr>
        <w:t>• Lei Federal nº 13.709/2018: Lei Geral de Proteção de Dados Pessoais.</w:t>
      </w:r>
    </w:p>
    <w:p>
      <w:pPr>
        <w:keepNext w:val="0"/>
        <w:spacing w:before="0" w:after="100" w:line="276" w:lineRule="auto"/>
        <w:ind w:firstLine="0"/>
        <w:jc w:val="both"/>
      </w:pPr>
      <w:r>
        <w:rPr>
          <w:rFonts w:ascii="Arial" w:hAnsi="Arial"/>
          <w:b w:val="0"/>
          <w:i w:val="0"/>
          <w:sz w:val="22"/>
        </w:rPr>
        <w:t>• Supremo Tribunal Federal: Tema 917 da repercussão geral, sobre iniciativa legislativa e políticas públicas que não alterem estrutura, atribuições de órgãos ou regime jurídico de servidores.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605"/>
      </w:tblGrid>
      <w:tr>
        <w:tc>
          <w:tcPr>
            <w:tcW w:type="dxa" w:w="9605"/>
            <w:vAlign w:val="center"/>
            <w:shd w:fill="EAF2F8"/>
            <w:tcBorders>
              <w:top w:val="single" w:sz="8" w:space="0" w:color="B7C9D6"/>
              <w:left w:val="single" w:sz="8" w:space="0" w:color="B7C9D6"/>
              <w:bottom w:val="single" w:sz="8" w:space="0" w:color="B7C9D6"/>
              <w:right w:val="single" w:sz="8" w:space="0" w:color="B7C9D6"/>
            </w:tcBorders>
          </w:tcPr>
          <w:p>
            <w:pPr>
              <w:spacing w:before="60" w:after="60" w:line="264" w:lineRule="auto"/>
              <w:jc w:val="both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OBSERVAÇÃO FINAL: </w:t>
            </w:r>
            <w:r>
              <w:rPr>
                <w:rFonts w:ascii="Arial" w:hAnsi="Arial"/>
                <w:sz w:val="20"/>
              </w:rPr>
              <w:t>este modelo é material educacional e editável. A validade formal e material da proposição depende da adaptação à legislação do Município e da revisão pelos profissionais competentes antes do protocolo.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9" w:h="16834"/>
      <w:pgMar w:top="1008" w:right="1152" w:bottom="936" w:left="1152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8"/>
      </w:rPr>
      <w:t xml:space="preserve">Página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1F4E79"/>
        <w:sz w:val="18"/>
      </w:rPr>
      <w:t>VEREADOR PREPARADO | MODELO GRATUITO EDITÁVEL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de Lei - Banco Municipal de Ração</dc:title>
  <dc:subject>Modelo gratuito e editável de projeto de lei municipal</dc:subject>
  <dc:creator>Vereador Preparado</dc:creator>
  <cp:keywords>projeto de lei, banco municipal de ração, proteção animal, modelo editável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